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440" w:right="2460" w:hanging="405"/>
        <w:spacing w:after="0" w:line="318" w:lineRule="auto"/>
        <w:tabs>
          <w:tab w:leader="none" w:pos="7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UNDER SECTION 13 OR 15(d) OF THE SECURITIES EXCHANGE ACT OF 1934. For the fiscal year ended June 30, 2016</w:t>
      </w:r>
    </w:p>
    <w:p>
      <w:pPr>
        <w:ind w:left="720" w:hanging="685"/>
        <w:spacing w:after="0" w:line="187" w:lineRule="auto"/>
        <w:tabs>
          <w:tab w:leader="none" w:pos="720" w:val="left"/>
        </w:tabs>
        <w:numPr>
          <w:ilvl w:val="0"/>
          <w:numId w:val="2"/>
        </w:numPr>
        <w:rPr>
          <w:rFonts w:ascii="MS PGothic" w:cs="MS PGothic" w:eastAsia="MS PGothic" w:hAnsi="MS PGothic"/>
          <w:sz w:val="10"/>
          <w:szCs w:val="10"/>
          <w:color w:val="auto"/>
        </w:rPr>
      </w:pPr>
      <w:r>
        <w:rPr>
          <w:rFonts w:ascii="Times New Roman" w:cs="Times New Roman" w:eastAsia="Times New Roman" w:hAnsi="Times New Roman"/>
          <w:sz w:val="10"/>
          <w:szCs w:val="10"/>
          <w:b w:val="1"/>
          <w:bCs w:val="1"/>
          <w:color w:val="auto"/>
        </w:rPr>
        <w:t>TRANSITION REPORT UNDER SECTION 13 OR 15(d) OF THE SECURITIES EXCHANGE ACT OF 1934.</w:t>
      </w:r>
    </w:p>
    <w:p>
      <w:pPr>
        <w:spacing w:after="0" w:line="226" w:lineRule="exact"/>
        <w:rPr>
          <w:sz w:val="24"/>
          <w:szCs w:val="24"/>
          <w:color w:val="auto"/>
        </w:rPr>
      </w:pPr>
    </w:p>
    <w:p>
      <w:pPr>
        <w:ind w:left="440"/>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001-35647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LIFEVANTAGE CORPORATION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80"/>
          </w:cols>
          <w:pgMar w:left="240" w:top="673" w:right="279" w:bottom="752" w:gutter="0" w:footer="0" w:header="0"/>
        </w:sectPr>
      </w:pPr>
    </w:p>
    <w:p>
      <w:pPr>
        <w:spacing w:after="0" w:line="14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90-0224471</w:t>
      </w:r>
    </w:p>
    <w:p>
      <w:pPr>
        <w:spacing w:after="0" w:line="72" w:lineRule="exact"/>
        <w:rPr>
          <w:sz w:val="24"/>
          <w:szCs w:val="24"/>
          <w:color w:val="auto"/>
        </w:rPr>
      </w:pPr>
    </w:p>
    <w:p>
      <w:pPr>
        <w:sectPr>
          <w:pgSz w:w="11900" w:h="16838" w:orient="portrait"/>
          <w:cols w:equalWidth="0" w:num="2">
            <w:col w:w="7420" w:space="720"/>
            <w:col w:w="3240"/>
          </w:cols>
          <w:pgMar w:left="240" w:top="673" w:right="279" w:bottom="752"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380"/>
          </w:cols>
          <w:pgMar w:left="240" w:top="673" w:right="279" w:bottom="752" w:gutter="0" w:footer="0" w:header="0"/>
          <w:type w:val="continuous"/>
        </w:sectPr>
      </w:pP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9785 S. Monroe, Ste 300</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Sandy, UT 84070</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3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(801) 432-9000</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 None</w:t>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ectPr>
          <w:pgSz w:w="11900" w:h="16838" w:orient="portrait"/>
          <w:cols w:equalWidth="0" w:num="1">
            <w:col w:w="11380"/>
          </w:cols>
          <w:pgMar w:left="240" w:top="673" w:right="279" w:bottom="752" w:gutter="0" w:footer="0" w:header="0"/>
          <w:type w:val="continuous"/>
        </w:sectPr>
      </w:pP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8460" w:space="180"/>
            <w:col w:w="260" w:space="80"/>
            <w:col w:w="160" w:space="180"/>
            <w:col w:w="220" w:space="100"/>
            <w:col w:w="1740"/>
          </w:cols>
          <w:pgMar w:left="240" w:top="673" w:right="279" w:bottom="752"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5">
            <w:col w:w="8620" w:space="180"/>
            <w:col w:w="260" w:space="80"/>
            <w:col w:w="160" w:space="180"/>
            <w:col w:w="220" w:space="100"/>
            <w:col w:w="1580"/>
          </w:cols>
          <w:pgMar w:left="240" w:top="673" w:right="279" w:bottom="752" w:gutter="0" w:footer="0" w:header="0"/>
          <w:type w:val="continuous"/>
        </w:sect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8"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61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61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p>
        </w:tc>
        <w:tc>
          <w:tcPr>
            <w:tcW w:w="23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r>
    </w:tbl>
    <w:p>
      <w:pPr>
        <w:spacing w:after="0" w:line="9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as of December, 31, 2015, the end of the registrant's second fiscal quarter, was approximately $133.2 million, based on a closing market price of $9.52 per share.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$0.001) outstanding as of November 30, 2016, was 14,057,722 shares.</w:t>
      </w:r>
    </w:p>
    <w:p>
      <w:pPr>
        <w:spacing w:after="0" w:line="14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380"/>
          </w:cols>
          <w:pgMar w:left="240" w:top="673" w:right="279" w:bottom="752"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our audit committee's independent review into sales of our products in certain international markets;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distributors with applicable legal requirements or our policies and procedures;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business and stock price due to ineffective internal controls over financial reporting;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financial reporting and internal control systems and processes;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motivate and manage our independent distributors;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to gain distributor or market acceptance;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cyber security risks and to maintain the integrity of data;</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financial covenants imposed by our credit facility and the impact of debt service obligations and restrictive debt covenants;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 fluctuations;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global economic conditions;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appropriate level of internal control over financial reporting;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environmental liabilities stemming from past operations and property ownership;</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independent distributors or to attract new independent distributors on an ongoing basis;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materials for our products may become difficult to obtain or expensive;</w:t>
      </w:r>
    </w:p>
    <w:p>
      <w:pPr>
        <w:spacing w:after="0" w:line="387" w:lineRule="exact"/>
        <w:rPr>
          <w:rFonts w:ascii="Times New Roman" w:cs="Times New Roman" w:eastAsia="Times New Roman" w:hAnsi="Times New Roman"/>
          <w:sz w:val="18"/>
          <w:szCs w:val="18"/>
          <w:color w:val="auto"/>
        </w:rPr>
      </w:pPr>
    </w:p>
    <w:p>
      <w:pPr>
        <w:ind w:left="5700" w:hanging="113"/>
        <w:spacing w:after="0"/>
        <w:tabs>
          <w:tab w:leader="none" w:pos="5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actions by our independent distributors that violate laws or regulations;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 product recall;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on direct selling activities in our various markets may prohibit or severely restrict our business model;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selling program could be found to not be in compliance with current or newly adopted laws or regulations in various markets;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may be expensive and time consuming;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skin care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 by the Federal Trade Commission;</w:t>
      </w:r>
    </w:p>
    <w:p>
      <w:pPr>
        <w:spacing w:after="0" w:line="14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positions or transfer pricing policies or change their laws in a manner that could increase our effective tax rate or otherwise harm our business;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laws;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build and integrate our new management team could harm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or assessments relating to the activity of our independent distributors;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market;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rights;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claims that we infringe on their intellectual property;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future capital or complete acquisitions as a result of delayed periodic reports with the SEC;</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of shares may negatively impact the market price of our common stock;</w:t>
      </w:r>
    </w:p>
    <w:p>
      <w:pPr>
        <w:spacing w:after="0" w:line="14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outstanding common shares may occur if holders of our existing warrants and options exercise their securities or upon future vesting of Performance Stock Units;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dividends on our capital stock, and we do not currently anticipate paying dividends in the foreseeable future.</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- 3-</w:t>
      </w:r>
    </w:p>
    <w:p>
      <w:pPr>
        <w:sectPr>
          <w:pgSz w:w="11900" w:h="16838" w:orient="portrait"/>
          <w:cols w:equalWidth="0" w:num="1">
            <w:col w:w="11340"/>
          </w:cols>
          <w:pgMar w:left="240" w:top="58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5"/>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PART I</w:t>
              </w:r>
            </w:hyperlink>
          </w:p>
        </w:tc>
        <w:tc>
          <w:tcPr>
            <w:tcW w:w="4200" w:type="dxa"/>
            <w:vAlign w:val="bottom"/>
            <w:gridSpan w:val="8"/>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Item 1. Business</w:t>
              </w:r>
            </w:hyperlink>
          </w:p>
        </w:tc>
        <w:tc>
          <w:tcPr>
            <w:tcW w:w="8500" w:type="dxa"/>
            <w:vAlign w:val="bottom"/>
            <w:gridSpan w:val="26"/>
          </w:tcPr>
          <w:p>
            <w:pPr>
              <w:spacing w:after="0"/>
              <w:rPr>
                <w:sz w:val="21"/>
                <w:szCs w:val="21"/>
                <w:color w:val="auto"/>
              </w:rPr>
            </w:pPr>
          </w:p>
        </w:tc>
        <w:tc>
          <w:tcPr>
            <w:tcW w:w="156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9700" w:type="dxa"/>
            <w:vAlign w:val="bottom"/>
            <w:gridSpan w:val="28"/>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Item 1A. Risk Factors</w:t>
              </w:r>
            </w:hyperlink>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gridSpan w:val="10"/>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1B. Unresolved Staff Comments</w:t>
              </w:r>
            </w:hyperlink>
          </w:p>
        </w:tc>
        <w:tc>
          <w:tcPr>
            <w:tcW w:w="6980" w:type="dxa"/>
            <w:vAlign w:val="bottom"/>
            <w:gridSpan w:val="18"/>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80" w:type="dxa"/>
            <w:vAlign w:val="bottom"/>
            <w:gridSpan w:val="3"/>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Item 2. Properties</w:t>
              </w:r>
            </w:hyperlink>
          </w:p>
        </w:tc>
        <w:tc>
          <w:tcPr>
            <w:tcW w:w="1440" w:type="dxa"/>
            <w:vAlign w:val="bottom"/>
            <w:gridSpan w:val="7"/>
          </w:tcPr>
          <w:p>
            <w:pPr>
              <w:spacing w:after="0"/>
              <w:rPr>
                <w:sz w:val="21"/>
                <w:szCs w:val="21"/>
                <w:color w:val="auto"/>
              </w:rPr>
            </w:pPr>
          </w:p>
        </w:tc>
        <w:tc>
          <w:tcPr>
            <w:tcW w:w="6980" w:type="dxa"/>
            <w:vAlign w:val="bottom"/>
            <w:gridSpan w:val="18"/>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 Legal Proceedings</w:t>
              </w:r>
            </w:hyperlink>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 Mine Safety Disclosures</w:t>
              </w:r>
            </w:hyperlink>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1"/>
          </w:tcPr>
          <w:p>
            <w:pPr>
              <w:jc w:val="center"/>
              <w:ind w:right="4180"/>
              <w:spacing w:after="0"/>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PART II</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r>
      <w:tr>
        <w:trPr>
          <w:trHeight w:val="250"/>
        </w:trPr>
        <w:tc>
          <w:tcPr>
            <w:tcW w:w="9700" w:type="dxa"/>
            <w:vAlign w:val="bottom"/>
            <w:gridSpan w:val="2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5. Market for Registrant’s Common Equity, Related Stockholder Matters and Issuer Purchases of Equity Securities</w:t>
              </w:r>
            </w:hyperlink>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60" w:type="dxa"/>
            <w:vAlign w:val="bottom"/>
            <w:gridSpan w:val="7"/>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Item 6. Selected Financial Data</w:t>
              </w:r>
            </w:hyperlink>
          </w:p>
        </w:tc>
        <w:tc>
          <w:tcPr>
            <w:tcW w:w="6360" w:type="dxa"/>
            <w:vAlign w:val="bottom"/>
            <w:gridSpan w:val="20"/>
          </w:tcPr>
          <w:p>
            <w:pPr>
              <w:spacing w:after="0"/>
              <w:rPr>
                <w:sz w:val="21"/>
                <w:szCs w:val="21"/>
                <w:color w:val="auto"/>
              </w:rPr>
            </w:pPr>
          </w:p>
        </w:tc>
        <w:tc>
          <w:tcPr>
            <w:tcW w:w="1080" w:type="dxa"/>
            <w:vAlign w:val="bottom"/>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40" w:type="dxa"/>
            <w:vAlign w:val="bottom"/>
            <w:gridSpan w:val="19"/>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Item 7A. Quantitative and Qualitative Disclosures About Market Risk</w:t>
              </w:r>
            </w:hyperlink>
          </w:p>
        </w:tc>
        <w:tc>
          <w:tcPr>
            <w:tcW w:w="1960" w:type="dxa"/>
            <w:vAlign w:val="bottom"/>
            <w:gridSpan w:val="5"/>
          </w:tcPr>
          <w:p>
            <w:pPr>
              <w:spacing w:after="0"/>
              <w:rPr>
                <w:sz w:val="21"/>
                <w:szCs w:val="21"/>
                <w:color w:val="auto"/>
              </w:rPr>
            </w:pPr>
          </w:p>
        </w:tc>
        <w:tc>
          <w:tcPr>
            <w:tcW w:w="2700" w:type="dxa"/>
            <w:vAlign w:val="bottom"/>
            <w:gridSpan w:val="4"/>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80" w:type="dxa"/>
            <w:vAlign w:val="bottom"/>
            <w:gridSpan w:val="13"/>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Item 8. Financial Statements and Supplementary Data</w:t>
              </w:r>
            </w:hyperlink>
          </w:p>
        </w:tc>
        <w:tc>
          <w:tcPr>
            <w:tcW w:w="1160" w:type="dxa"/>
            <w:vAlign w:val="bottom"/>
            <w:gridSpan w:val="6"/>
          </w:tcPr>
          <w:p>
            <w:pPr>
              <w:spacing w:after="0"/>
              <w:rPr>
                <w:sz w:val="21"/>
                <w:szCs w:val="21"/>
                <w:color w:val="auto"/>
              </w:rPr>
            </w:pPr>
          </w:p>
        </w:tc>
        <w:tc>
          <w:tcPr>
            <w:tcW w:w="4660" w:type="dxa"/>
            <w:vAlign w:val="bottom"/>
            <w:gridSpan w:val="9"/>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8"/>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9A. Controls and Procedures</w:t>
              </w:r>
            </w:hyperlink>
          </w:p>
        </w:tc>
        <w:tc>
          <w:tcPr>
            <w:tcW w:w="4580" w:type="dxa"/>
            <w:vAlign w:val="bottom"/>
            <w:gridSpan w:val="16"/>
          </w:tcPr>
          <w:p>
            <w:pPr>
              <w:spacing w:after="0"/>
              <w:rPr>
                <w:sz w:val="21"/>
                <w:szCs w:val="21"/>
                <w:color w:val="auto"/>
              </w:rPr>
            </w:pPr>
          </w:p>
        </w:tc>
        <w:tc>
          <w:tcPr>
            <w:tcW w:w="2680" w:type="dxa"/>
            <w:vAlign w:val="bottom"/>
            <w:gridSpan w:val="3"/>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9B. Other Information</w:t>
              </w:r>
            </w:hyperlink>
          </w:p>
        </w:tc>
        <w:tc>
          <w:tcPr>
            <w:tcW w:w="7260" w:type="dxa"/>
            <w:vAlign w:val="bottom"/>
            <w:gridSpan w:val="19"/>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20" w:type="dxa"/>
            <w:vAlign w:val="bottom"/>
            <w:gridSpan w:val="13"/>
          </w:tcPr>
          <w:p>
            <w:pPr>
              <w:jc w:val="center"/>
              <w:ind w:right="4120"/>
              <w:spacing w:after="0"/>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PART III</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740" w:type="dxa"/>
            <w:vAlign w:val="bottom"/>
            <w:gridSpan w:val="14"/>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10. Directors, Executive Officers and Corporate Governance</w:t>
              </w:r>
            </w:hyperlink>
          </w:p>
        </w:tc>
        <w:tc>
          <w:tcPr>
            <w:tcW w:w="160" w:type="dxa"/>
            <w:vAlign w:val="bottom"/>
            <w:gridSpan w:val="2"/>
          </w:tcPr>
          <w:p>
            <w:pPr>
              <w:spacing w:after="0"/>
              <w:rPr>
                <w:sz w:val="21"/>
                <w:szCs w:val="21"/>
                <w:color w:val="auto"/>
              </w:rPr>
            </w:pPr>
          </w:p>
        </w:tc>
        <w:tc>
          <w:tcPr>
            <w:tcW w:w="660" w:type="dxa"/>
            <w:vAlign w:val="bottom"/>
            <w:tcBorders>
              <w:top w:val="single" w:sz="8" w:color="0000EE"/>
            </w:tcBorders>
            <w:gridSpan w:val="6"/>
          </w:tcPr>
          <w:p>
            <w:pPr>
              <w:spacing w:after="0"/>
              <w:rPr>
                <w:sz w:val="21"/>
                <w:szCs w:val="21"/>
                <w:color w:val="auto"/>
              </w:rPr>
            </w:pPr>
          </w:p>
        </w:tc>
        <w:tc>
          <w:tcPr>
            <w:tcW w:w="4140" w:type="dxa"/>
            <w:vAlign w:val="bottom"/>
            <w:gridSpan w:val="6"/>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Item 11. Executive Compensation</w:t>
              </w:r>
            </w:hyperlink>
          </w:p>
        </w:tc>
        <w:tc>
          <w:tcPr>
            <w:tcW w:w="2300" w:type="dxa"/>
            <w:vAlign w:val="bottom"/>
            <w:gridSpan w:val="5"/>
          </w:tcPr>
          <w:p>
            <w:pPr>
              <w:spacing w:after="0"/>
              <w:rPr>
                <w:sz w:val="21"/>
                <w:szCs w:val="21"/>
                <w:color w:val="auto"/>
              </w:rPr>
            </w:pPr>
          </w:p>
        </w:tc>
        <w:tc>
          <w:tcPr>
            <w:tcW w:w="4960" w:type="dxa"/>
            <w:vAlign w:val="bottom"/>
            <w:gridSpan w:val="14"/>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940" w:type="dxa"/>
            <w:vAlign w:val="bottom"/>
            <w:gridSpan w:val="26"/>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Item 12. Security Ownership of Certain Beneficial Owners and Management and Related Stockholder Matters</w:t>
              </w:r>
            </w:hyperlink>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3"/>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3"/>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14. Principal Accountant Fees and Services</w:t>
              </w:r>
            </w:hyperlink>
          </w:p>
        </w:tc>
        <w:tc>
          <w:tcPr>
            <w:tcW w:w="3600" w:type="dxa"/>
            <w:vAlign w:val="bottom"/>
            <w:gridSpan w:val="5"/>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72</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Borders>
              <w:bottom w:val="single" w:sz="8" w:color="0000EE"/>
            </w:tcBorders>
            <w:gridSpan w:val="7"/>
          </w:tcPr>
          <w:p>
            <w:pPr>
              <w:jc w:val="center"/>
              <w:spacing w:after="0"/>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PART IV</w:t>
              </w:r>
            </w:hyperlink>
          </w:p>
        </w:tc>
        <w:tc>
          <w:tcPr>
            <w:tcW w:w="41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540" w:type="dxa"/>
            <w:vAlign w:val="bottom"/>
            <w:gridSpan w:val="12"/>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Item 15. Exhibits, Financial Statement Schedules</w:t>
              </w:r>
            </w:hyperlink>
          </w:p>
        </w:tc>
        <w:tc>
          <w:tcPr>
            <w:tcW w:w="6160" w:type="dxa"/>
            <w:vAlign w:val="bottom"/>
            <w:gridSpan w:val="16"/>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6160" w:type="dxa"/>
            <w:vAlign w:val="bottom"/>
            <w:gridSpan w:val="16"/>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Signatures</w:t>
              </w:r>
            </w:hyperlink>
          </w:p>
        </w:tc>
        <w:tc>
          <w:tcPr>
            <w:tcW w:w="2780" w:type="dxa"/>
            <w:vAlign w:val="bottom"/>
            <w:gridSpan w:val="11"/>
          </w:tcPr>
          <w:p>
            <w:pPr>
              <w:spacing w:after="0"/>
              <w:rPr>
                <w:sz w:val="21"/>
                <w:szCs w:val="21"/>
                <w:color w:val="auto"/>
              </w:rPr>
            </w:pPr>
          </w:p>
        </w:tc>
        <w:tc>
          <w:tcPr>
            <w:tcW w:w="6160" w:type="dxa"/>
            <w:vAlign w:val="bottom"/>
            <w:gridSpan w:val="16"/>
          </w:tcPr>
          <w:p>
            <w:pPr>
              <w:spacing w:after="0"/>
              <w:rPr>
                <w:sz w:val="21"/>
                <w:szCs w:val="21"/>
                <w:color w:val="auto"/>
              </w:rPr>
            </w:pPr>
          </w:p>
        </w:tc>
        <w:tc>
          <w:tcPr>
            <w:tcW w:w="1660" w:type="dxa"/>
            <w:vAlign w:val="bottom"/>
            <w:gridSpan w:val="5"/>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75</w:t>
              </w:r>
            </w:hyperlink>
          </w:p>
        </w:tc>
      </w:tr>
      <w:tr>
        <w:trPr>
          <w:trHeight w:val="507"/>
        </w:trPr>
        <w:tc>
          <w:tcPr>
            <w:tcW w:w="760" w:type="dxa"/>
            <w:vAlign w:val="bottom"/>
            <w:tcBorders>
              <w:top w:val="single" w:sz="8" w:color="0000EE"/>
            </w:tcBorders>
          </w:tcPr>
          <w:p>
            <w:pPr>
              <w:spacing w:after="0"/>
              <w:rPr>
                <w:sz w:val="24"/>
                <w:szCs w:val="24"/>
                <w:color w:val="auto"/>
              </w:rPr>
            </w:pPr>
          </w:p>
        </w:tc>
        <w:tc>
          <w:tcPr>
            <w:tcW w:w="5340" w:type="dxa"/>
            <w:vAlign w:val="bottom"/>
            <w:gridSpan w:val="22"/>
          </w:tcPr>
          <w:p>
            <w:pPr>
              <w:jc w:val="right"/>
              <w:ind w:right="300"/>
              <w:spacing w:after="0"/>
              <w:rPr>
                <w:sz w:val="20"/>
                <w:szCs w:val="20"/>
                <w:color w:val="auto"/>
              </w:rPr>
            </w:pPr>
            <w:r>
              <w:rPr>
                <w:rFonts w:ascii="Times New Roman" w:cs="Times New Roman" w:eastAsia="Times New Roman" w:hAnsi="Times New Roman"/>
                <w:sz w:val="18"/>
                <w:szCs w:val="18"/>
                <w:color w:val="auto"/>
              </w:rPr>
              <w:t>- 4-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6" w:right="2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LifeVantage Corporation is a company focused on nutrigenomics, the study of how nutrition and naturally occurring compounds affect our genes. We are dedicated to helping people achieve their health, wellness and financial independence goals. We provide quality, scientifically-validated products and a financially rewarding direct sales business opportunity to preferred customers, retail customers and independent distributors who seek a healthy lifestyle and financial freedom. We sell our products in the United States, Japan, Hong Kong, Australia, Canada, Philippines, Mexico, Thailand, the United Kingdom and the Netherlands.</w:t>
      </w:r>
    </w:p>
    <w:p>
      <w:pPr>
        <w:spacing w:after="0" w:line="103" w:lineRule="exact"/>
        <w:rPr>
          <w:sz w:val="20"/>
          <w:szCs w:val="20"/>
          <w:color w:val="auto"/>
        </w:rPr>
      </w:pPr>
    </w:p>
    <w:p>
      <w:pPr>
        <w:ind w:firstLine="324"/>
        <w:spacing w:after="0" w:line="214" w:lineRule="auto"/>
        <w:rPr>
          <w:sz w:val="20"/>
          <w:szCs w:val="20"/>
          <w:color w:val="auto"/>
        </w:rPr>
      </w:pPr>
      <w:r>
        <w:rPr>
          <w:rFonts w:ascii="Times New Roman" w:cs="Times New Roman" w:eastAsia="Times New Roman" w:hAnsi="Times New Roman"/>
          <w:sz w:val="18"/>
          <w:szCs w:val="18"/>
          <w:color w:val="auto"/>
        </w:rPr>
        <w:t>We engage in the identification, research, development and distribution of advanced nutraceutical dietary supplements and skin care products, including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line of scientifically-validated dietary supplements,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line of anti-aging skin care products,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companion pet supplement formulated to combat oxidative stress in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energy drink mixes,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smart weight management system.</w:t>
      </w:r>
    </w:p>
    <w:p>
      <w:pPr>
        <w:spacing w:after="0" w:line="118" w:lineRule="exact"/>
        <w:rPr>
          <w:sz w:val="20"/>
          <w:szCs w:val="20"/>
          <w:color w:val="auto"/>
        </w:rPr>
      </w:pPr>
    </w:p>
    <w:p>
      <w:pPr>
        <w:ind w:firstLine="324"/>
        <w:spacing w:after="0" w:line="228" w:lineRule="auto"/>
        <w:rPr>
          <w:sz w:val="20"/>
          <w:szCs w:val="20"/>
          <w:color w:val="auto"/>
        </w:rPr>
      </w:pPr>
      <w:r>
        <w:rPr>
          <w:rFonts w:ascii="Times New Roman" w:cs="Times New Roman" w:eastAsia="Times New Roman" w:hAnsi="Times New Roman"/>
          <w:sz w:val="18"/>
          <w:szCs w:val="18"/>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through traditional retail stores. In October 2008, we announced that we were transitioning our business model from a traditional retail model to a direct sales model in which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would be sold primarily through our network of independent distributors. Since entering direct sales, we have increased our geographic reach by entering new international markets and increased our product offering by introducing additional scientifically-validated products.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2016 Highlights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expanded our international sales activities into the United Kingdom in March 2016 and the Netherlands in June 2016.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Science-Based Products</w:t>
      </w:r>
    </w:p>
    <w:p>
      <w:pPr>
        <w:spacing w:after="0" w:line="148" w:lineRule="exact"/>
        <w:rPr>
          <w:sz w:val="20"/>
          <w:szCs w:val="20"/>
          <w:color w:val="auto"/>
        </w:rPr>
      </w:pPr>
    </w:p>
    <w:p>
      <w:pPr>
        <w:ind w:firstLine="324"/>
        <w:spacing w:after="0" w:line="215" w:lineRule="auto"/>
        <w:rPr>
          <w:sz w:val="20"/>
          <w:szCs w:val="20"/>
          <w:color w:val="auto"/>
        </w:rPr>
      </w:pPr>
      <w:r>
        <w:rPr>
          <w:rFonts w:ascii="Times New Roman" w:cs="Times New Roman" w:eastAsia="Times New Roman" w:hAnsi="Times New Roman"/>
          <w:sz w:val="18"/>
          <w:szCs w:val="18"/>
          <w:color w:val="auto"/>
        </w:rPr>
        <w:t>We expanded our product offerings in fiscal year 2016 with three new products. In October 2015, we added Micro Lift Serum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System, which was formulated as a natural way to visibly tighten, smooth and firm the skin around the eyes, quickly restoring a youthful looking radiance without sacrificing long-term skin health. In December 2015, we launched our PhysIQ™ Smart Weight Management system, which includes four products to promote weight loss and support optimal digestion and immune function: PhysIQ™ Cleanse, PhysIQ™ Probio, PhysIQ™ Fat Burn and PhysIQ™ Protein. In May 2016, we expanded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from a single product into a line of dietary supplements by introducing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which was formulated to strengthen the mitochondria, the powerhouse of all cells, for better cellular health.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is designed to work in tandem with our flagship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We currently have additional products in development. We intend to conduct additional research and development on these and other product candidates before introducing them through our network of independent distributors. We believe these new product lines show our commitment to delivering scientifically-backed products that help people feel, look and perform better.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Team</w:t>
      </w:r>
    </w:p>
    <w:p>
      <w:pPr>
        <w:spacing w:after="0" w:line="14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made significant changes to our executive management team during fiscal year 2016. In July 2015, we appointed Justin Rose as our Chief Sales Officer. Prior to joining LifeVantage, Mr. Rose spent 26 years in the direct selling industry in senior sales and marketing roles. In August 2015, we appointed Mark Jaggi as our Chief Financial Officer who, prior to joining LifeVantage, spent 20 years in lead financial, operational and strategic planning roles. In November 2015, we appointed Ryan Goodwin as our Chief Marketing Officer. Mr. Goodwin has more than a decade of experience building brands and marketing strategies for both direct sales companies and traditional consumer brands.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148"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introduced new mobile applications for our independent distributors to use to enhance their businesses. Our suite of four apps, available for both iPhone and Android, provide training and tools to help our independent distributors share our products and business opportunity. Our LV Pro App was designed for independent distributors access to their businesses in real-time, directly from their smart phones. Our LV Share App uses social media as an effective tool to connect and expand social</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w:t>
      </w:r>
    </w:p>
    <w:p>
      <w:pPr>
        <w:sectPr>
          <w:pgSz w:w="11900" w:h="16838" w:orient="portrait"/>
          <w:cols w:equalWidth="0" w:num="1">
            <w:col w:w="11400"/>
          </w:cols>
          <w:pgMar w:left="240" w:top="576" w:right="259" w:bottom="1440" w:gutter="0" w:footer="0" w:header="0"/>
        </w:sectPr>
      </w:pPr>
    </w:p>
    <w:bookmarkStart w:id="5" w:name="page6"/>
    <w:bookmarkEnd w:id="5"/>
    <w:p>
      <w:pPr>
        <w:ind w:right="140"/>
        <w:spacing w:after="0" w:line="266" w:lineRule="auto"/>
        <w:rPr>
          <w:sz w:val="20"/>
          <w:szCs w:val="20"/>
          <w:color w:val="auto"/>
        </w:rPr>
      </w:pPr>
      <w:r>
        <w:rPr>
          <w:rFonts w:ascii="Times New Roman" w:cs="Times New Roman" w:eastAsia="Times New Roman" w:hAnsi="Times New Roman"/>
          <w:sz w:val="18"/>
          <w:szCs w:val="18"/>
          <w:color w:val="auto"/>
        </w:rPr>
        <w:t>reach on sites like Facebook, Twitter, Pinterest and Instagram. Our Brandr App provides a library of professionally-designed overlays with our branding and other useful tools, including quotes, tips and facts independent distributors can share with their social networks. Lastly, our LV Move App is a platform designed to engage new distributors upon enrollment and mentor existing distributors to help them launch their respective businesses.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have a competitive advantage in several key areas:</w:t>
      </w:r>
    </w:p>
    <w:p>
      <w:pPr>
        <w:spacing w:after="0" w:line="144" w:lineRule="exact"/>
        <w:rPr>
          <w:sz w:val="20"/>
          <w:szCs w:val="20"/>
          <w:color w:val="auto"/>
        </w:rPr>
      </w:pPr>
    </w:p>
    <w:p>
      <w:pPr>
        <w:ind w:left="660" w:right="40" w:hanging="328"/>
        <w:spacing w:after="0" w:line="24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Compensation</w:t>
      </w:r>
      <w:r>
        <w:rPr>
          <w:rFonts w:ascii="Times New Roman" w:cs="Times New Roman" w:eastAsia="Times New Roman" w:hAnsi="Times New Roman"/>
          <w:sz w:val="18"/>
          <w:szCs w:val="18"/>
          <w:color w:val="auto"/>
        </w:rPr>
        <w:t>: We believe our compensation plan is one of the more financially rewarding in the direct selling industry. Our percentage of sales paid to independent distributors as compensation and incentive is one of the highest percentages reported in the direct selling industry. Our compensation plan also enables independent distributors to earn compensation early and often as they sell our products. Some elements of our compensation plan are paid weekly, allowing new independent distributors to receive compensation quickly. We believe more frequent payments of compensation helps us retain new independent distributors by allowing them to experience success soon after enrolling. We also offer a variety of incentive programs to our independent distributors for achieving specified sales goals. For example, our My LifeVenture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an incentive program that enables independent distributors to earn the title to a new Jeep Wrangler by achieving and maintaining specified sales goals. We believe our compensation plan and incentive programs help motivate our independent distributors to achieve success.</w:t>
      </w:r>
    </w:p>
    <w:p>
      <w:pPr>
        <w:spacing w:after="0" w:line="120" w:lineRule="exact"/>
        <w:rPr>
          <w:rFonts w:ascii="Times New Roman" w:cs="Times New Roman" w:eastAsia="Times New Roman" w:hAnsi="Times New Roman"/>
          <w:sz w:val="18"/>
          <w:szCs w:val="18"/>
          <w:color w:val="auto"/>
        </w:rPr>
      </w:pPr>
    </w:p>
    <w:p>
      <w:pPr>
        <w:ind w:left="660" w:hanging="328"/>
        <w:spacing w:after="0" w:line="21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Products</w:t>
      </w:r>
      <w:r>
        <w:rPr>
          <w:rFonts w:ascii="Times New Roman" w:cs="Times New Roman" w:eastAsia="Times New Roman" w:hAnsi="Times New Roman"/>
          <w:sz w:val="18"/>
          <w:szCs w:val="18"/>
          <w:color w:val="auto"/>
        </w:rPr>
        <w:t>: We have a focus in nutrigenomics, the study of how nutrition and naturally occurring compounds affect our genes. We have developed quality, scientifically-validated nutrigenomics products focused on helping individuals look, feel and perform better.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is a patented dietary supplement clinically proven to combat oxidative stress, a natural consequence of cellular metabolism associated with many of the undesirable effects of aging.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is a dietary supplement formulated to strengthen the mitochondria for better cellular health. Our skin care line,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is a patented combination of scientifically based anti-aging skin care products formulated to target the visible signs of aging on the skin.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line of energy drink mixes, is formulated to promote alertness and support mental performance. PhysIQ™, our Smart Weight Management System, promotes weight loss and supports optimal digestion and immune function. Our companion pet supplement,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incorporates some of the same active ingredients as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to combat oxidative stress in dogs. We believe our significant number of preferred customers who regularly purchase our products without the intention of becoming independent distributors is a strong indicator of the benefits of our products.</w:t>
      </w:r>
    </w:p>
    <w:p>
      <w:pPr>
        <w:spacing w:after="0" w:line="122"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Distributor Training and Resources</w:t>
      </w:r>
      <w:r>
        <w:rPr>
          <w:rFonts w:ascii="Times New Roman" w:cs="Times New Roman" w:eastAsia="Times New Roman" w:hAnsi="Times New Roman"/>
          <w:sz w:val="18"/>
          <w:szCs w:val="18"/>
          <w:color w:val="auto"/>
        </w:rPr>
        <w:t>: We are committed to providing our independent distributors with resources and training designed to increase productivity and increase their potential for success. We provide training materials and we encourage our independent distributors to participate in company-sponsored events, including conventions, promotions and incentives. In addition, we are dedicated to using technology to facilitate a streamlined approach for independent distributors to manage their businesses and sell our products. Our suite of four new mobile applications provides the training and tools to help our independent distributors share our products and business opportunity directly from their smart phones.</w:t>
      </w:r>
    </w:p>
    <w:p>
      <w:pPr>
        <w:spacing w:after="0" w:line="102" w:lineRule="exact"/>
        <w:rPr>
          <w:rFonts w:ascii="Times New Roman" w:cs="Times New Roman" w:eastAsia="Times New Roman" w:hAnsi="Times New Roman"/>
          <w:sz w:val="18"/>
          <w:szCs w:val="18"/>
          <w:color w:val="auto"/>
        </w:rPr>
      </w:pPr>
    </w:p>
    <w:p>
      <w:pPr>
        <w:ind w:left="660" w:right="34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Culture</w:t>
      </w:r>
      <w:r>
        <w:rPr>
          <w:rFonts w:ascii="Times New Roman" w:cs="Times New Roman" w:eastAsia="Times New Roman" w:hAnsi="Times New Roman"/>
          <w:sz w:val="18"/>
          <w:szCs w:val="18"/>
          <w:color w:val="auto"/>
        </w:rPr>
        <w:t>: We are committed to creating a culture for our independent distributors, customers and employees that focuses on ethical, legal and transparent business practices. At enrollment, our independent distributors agree to abide by our policies and procedures. Our policies and procedures, when followed, ensure that our independent distributors comply with applicable laws and regulations. Our compliance department monitors the activities of our independent distributors as part of our effort to 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10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Employees</w:t>
      </w:r>
      <w:r>
        <w:rPr>
          <w:rFonts w:ascii="Times New Roman" w:cs="Times New Roman" w:eastAsia="Times New Roman" w:hAnsi="Times New Roman"/>
          <w:sz w:val="18"/>
          <w:szCs w:val="18"/>
          <w:color w:val="auto"/>
        </w:rPr>
        <w:t>: We believe that our employees are an essential asset. We have a dedicated team of professionals that support our system of independent distributors, work to generate long-term value for our shareholders and contribute to the broader public through LifeVantage Legacy and other charitable programs. In turn, we offer competitive compensation, invest in our employees' careers and direct their focus on the long-term goals of our independent distributors and shareholders.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Background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Oxidative Stress</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Oxidative stress refers to the cellular and tissue damage caused by chemically reactive oxygen species that is generated as a natural result of cellular metabolism and the body's use of oxygen to generate energy. Levels of reactive oxygen species, also known as ROS, and free radicals can be elevated under a wide variety of conditions, including radiation, UV light, smoking,</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w:t>
      </w:r>
    </w:p>
    <w:p>
      <w:pPr>
        <w:sectPr>
          <w:pgSz w:w="11900" w:h="16838" w:orient="portrait"/>
          <w:cols w:equalWidth="0" w:num="1">
            <w:col w:w="11420"/>
          </w:cols>
          <w:pgMar w:left="240" w:top="580" w:right="239" w:bottom="1440" w:gutter="0" w:footer="0" w:header="0"/>
        </w:sectPr>
      </w:pPr>
    </w:p>
    <w:bookmarkStart w:id="6" w:name="page7"/>
    <w:bookmarkEnd w:id="6"/>
    <w:p>
      <w:pPr>
        <w:ind w:right="540"/>
        <w:spacing w:after="0" w:line="266" w:lineRule="auto"/>
        <w:rPr>
          <w:sz w:val="20"/>
          <w:szCs w:val="20"/>
          <w:color w:val="auto"/>
        </w:rPr>
      </w:pPr>
      <w:r>
        <w:rPr>
          <w:rFonts w:ascii="Times New Roman" w:cs="Times New Roman" w:eastAsia="Times New Roman" w:hAnsi="Times New Roman"/>
          <w:sz w:val="18"/>
          <w:szCs w:val="18"/>
          <w:color w:val="auto"/>
        </w:rPr>
        <w:t>excessive alcohol consumption, as well as medical conditions involving inflammation, cardiovascular disease, neurodegenerative disease, diabetes and advancing age. Elevated ROS levels inflict structural damage on nucleic acid, lipid, carbohydrate and protein components of cells, thereby directly contributing to or exacerbating tissue dysfunction, disease and age-related debilitation.</w:t>
      </w:r>
    </w:p>
    <w:p>
      <w:pPr>
        <w:spacing w:after="0" w:line="9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Cellular antioxidant enzymes normally serve to inactivate ROS and maintain levels of ROS at those compatible with normal cell function. Important among these cellular antioxidant enzymes are superoxide dismutase and catalase. However, the levels of these protective antioxidant enzymes decrease with age and in a number of disease conditions. As we age and the levels of antioxidant enzymes decrease, oxidative stress levels increase significantly and our body is unable to maintain homeostasis relative to elevated ROS levels.</w:t>
      </w:r>
    </w:p>
    <w:p>
      <w:pPr>
        <w:spacing w:after="0" w:line="9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Oxidative stress is widely believed to be a key factor in many of the undesirable effects of aging because it promotes cell death. Additionally, high levels of oxidative stress have also been linked as a causative or associated factor in over 100 diseases.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Nrf2 Activation</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Nuclear factor (erythroid-derived 2)-like 2, also known as NFE2L2 or Nrf2, is a transcription factor that in humans is encoded by the NFE2L2 gene. Nrf2 is the master regulator of the antioxidant response, which is important for the amelioration of oxidative stress. Because Nrf2 is able to induce gene activity important in combating oxidative stress, thereby activating the body’s own protective response, it helps protect from a variety of complications related to oxidative stress.</w:t>
      </w:r>
    </w:p>
    <w:p>
      <w:pPr>
        <w:spacing w:after="0" w:line="9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normal or unstressed conditions, Nrf2 resides in the cytoplasm of the cell, outside the nucleus, and is targeted for degradation. When activated, Nrf2 is able to move into the nucleus where it promotes the expression of several thousand genes, including those that encode antioxidant enzymes as well as anti-inflammatory and stress response proteins.</w:t>
      </w:r>
    </w:p>
    <w:p>
      <w:pPr>
        <w:spacing w:after="0" w:line="9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recent years, Nrf2 has become the subject of intense research. A common theme in much of this research is that activation of Nrf2 upregulates a coordinated antioxidant response and is therefore capable of protecting against oxidative stress-related injury and inflammatory disease in a wide variety of animal models. Therefore, Nrf2 represents an important therapeutic target.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NRF1 Activation</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Nuclear Respiratory Factor 1 or NRF1 is a transcription factor that contributes to the expression of many genes required for the maintenance and function of the mitochondria. Mitochondria are subcellular self-autonomous organelles and are primarily responsible for the generation of the chemical energy (ATP) that cells require to stay alive. Mitochondria constantly expand and divide based on the demand of the tissue cells in which they reside. They also play an important role in triggering the signaling cascade that results in the death of cells (apoptosis). Proper regulation of these mitochondrial functions is vitally important for the life and death of cells and for human health.</w:t>
      </w:r>
    </w:p>
    <w:p>
      <w:pPr>
        <w:spacing w:after="0" w:line="10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Dysfunction of mitochondria has been associated with many chronic diseases in a wide variety of animal models. Therefore, the upregulation of NRF1 represents an important therapeutic target to support the proper function of mitochondria and human health.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7"/>
          <w:szCs w:val="17"/>
          <w:color w:val="auto"/>
        </w:rPr>
        <w:t>Historically, we have focused our research and development efforts on creating and supporting scientifically-validated, yet highly demonstrative products under the Protandim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TrueScience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Canine Health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Axio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and PhysIQ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federation of brands. We anticipate that our future research and development efforts will be focused on creating, developing and evaluating new products that are consistent with our commitment to provide quality, scientifically-validated products. We intend to build on our foundation of combating oxidative stress and targeting specific benefit areas that help individuals feel, look and perform better. We also plan to continue sponsoring additional studies on our current products in an effort to further validate the benefits they provide.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Protandim</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Nrf2 Synergizer</w:t>
      </w:r>
    </w:p>
    <w:p>
      <w:pPr>
        <w:spacing w:after="0" w:line="176" w:lineRule="exact"/>
        <w:rPr>
          <w:sz w:val="20"/>
          <w:szCs w:val="20"/>
          <w:color w:val="auto"/>
        </w:rPr>
      </w:pPr>
    </w:p>
    <w:p>
      <w:pPr>
        <w:ind w:right="220" w:firstLine="324"/>
        <w:spacing w:after="0" w:line="218" w:lineRule="auto"/>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is a patented dietary supplement that has been shown in a clinical trial to reduce the age-dependent increase in markers of oxidative stress, and has also been shown to provide substantial benefits to combat the variety of negative health effects linked to oxidative stress.</w:t>
      </w:r>
    </w:p>
    <w:p>
      <w:pPr>
        <w:spacing w:after="0" w:line="91" w:lineRule="exact"/>
        <w:rPr>
          <w:sz w:val="20"/>
          <w:szCs w:val="20"/>
          <w:color w:val="auto"/>
        </w:rPr>
      </w:pPr>
    </w:p>
    <w:p>
      <w:pPr>
        <w:ind w:right="300" w:firstLine="324"/>
        <w:spacing w:after="0" w:line="229" w:lineRule="auto"/>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combats oxidative stress by increasing the body’s natural antioxidant protection at the genetic level. The unique blend of phytonutrients in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signals the activation of Nrf2 to increase production</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w:t>
      </w:r>
    </w:p>
    <w:p>
      <w:pPr>
        <w:sectPr>
          <w:pgSz w:w="11900" w:h="16838" w:orient="portrait"/>
          <w:cols w:equalWidth="0" w:num="1">
            <w:col w:w="11400"/>
          </w:cols>
          <w:pgMar w:left="240" w:top="580" w:right="259" w:bottom="1440" w:gutter="0" w:footer="0" w:header="0"/>
        </w:sectPr>
      </w:pPr>
    </w:p>
    <w:bookmarkStart w:id="7" w:name="page8"/>
    <w:bookmarkEnd w:id="7"/>
    <w:p>
      <w:pPr>
        <w:ind w:right="40"/>
        <w:spacing w:after="0" w:line="266" w:lineRule="auto"/>
        <w:rPr>
          <w:sz w:val="20"/>
          <w:szCs w:val="20"/>
          <w:color w:val="auto"/>
        </w:rPr>
      </w:pPr>
      <w:r>
        <w:rPr>
          <w:rFonts w:ascii="Times New Roman" w:cs="Times New Roman" w:eastAsia="Times New Roman" w:hAnsi="Times New Roman"/>
          <w:sz w:val="18"/>
          <w:szCs w:val="18"/>
          <w:color w:val="auto"/>
        </w:rPr>
        <w:t>of antioxidant enzymes, specifically superoxide dismutase and catalase, and other cell-protective gene products. The body's internally produced antioxidant enzymes provide a better defense against oxidative stress than externally derived sources of antioxidants such as Vitamin C, Vitamin E and Coenzyme Q-10. Unlike externally derived sources of antioxidants, these enzymes are “catalytic,” which means these enzymes are not used up upon neutralizing free radicals.</w:t>
      </w:r>
    </w:p>
    <w:p>
      <w:pPr>
        <w:spacing w:after="0" w:line="68" w:lineRule="exact"/>
        <w:rPr>
          <w:sz w:val="20"/>
          <w:szCs w:val="20"/>
          <w:color w:val="auto"/>
        </w:rPr>
      </w:pPr>
    </w:p>
    <w:p>
      <w:pPr>
        <w:ind w:firstLine="324"/>
        <w:spacing w:after="0" w:line="212" w:lineRule="auto"/>
        <w:rPr>
          <w:sz w:val="20"/>
          <w:szCs w:val="20"/>
          <w:color w:val="auto"/>
        </w:rPr>
      </w:pPr>
      <w:r>
        <w:rPr>
          <w:rFonts w:ascii="Times New Roman" w:cs="Times New Roman" w:eastAsia="Times New Roman" w:hAnsi="Times New Roman"/>
          <w:sz w:val="18"/>
          <w:szCs w:val="18"/>
          <w:color w:val="auto"/>
        </w:rPr>
        <w:t>We hold multiple U.S. and international patents relating to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We believe these patents set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apart from other dietary supplements and protect the original formula as well as certain formula modifications we could create to extend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We sell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in two formulas, one for our Japan market and one for all our other markets where registered.</w:t>
      </w:r>
    </w:p>
    <w:p>
      <w:pPr>
        <w:spacing w:after="0" w:line="21" w:lineRule="exact"/>
        <w:rPr>
          <w:sz w:val="20"/>
          <w:szCs w:val="20"/>
          <w:color w:val="auto"/>
        </w:rPr>
      </w:pPr>
    </w:p>
    <w:p>
      <w:pPr>
        <w:ind w:right="260" w:firstLine="324"/>
        <w:spacing w:after="0" w:line="238" w:lineRule="auto"/>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has been, and is currently,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Times New Roman" w:cs="Times New Roman" w:eastAsia="Times New Roman" w:hAnsi="Times New Roman"/>
          <w:sz w:val="18"/>
          <w:szCs w:val="18"/>
          <w:i w:val="1"/>
          <w:iCs w:val="1"/>
          <w:color w:val="auto"/>
        </w:rPr>
        <w:t>Free Radical Biology &amp; Medicine, Enzyme Research, Circulation-the scientific journal of the American Heart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Journal of Physiology-Lung Cellular and Molecular Physiology, PLoS One, Journal of Dietary Supplements, Molecular Aspects of Medicine, Oxidative Medicine and Cell Longevity, Exercise &amp; Sports Science Reviews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Clinical Pharmacology,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FASEB Journal.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Protandim</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NRF1 Synergizer</w:t>
      </w:r>
    </w:p>
    <w:p>
      <w:pPr>
        <w:spacing w:after="0" w:line="66" w:lineRule="exact"/>
        <w:rPr>
          <w:sz w:val="20"/>
          <w:szCs w:val="20"/>
          <w:color w:val="auto"/>
        </w:rPr>
      </w:pPr>
    </w:p>
    <w:p>
      <w:pPr>
        <w:ind w:right="140" w:firstLine="324"/>
        <w:spacing w:after="0" w:line="194" w:lineRule="auto"/>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NRF1 Synergizer is a dietary supplement which was formulated to strengthen the mitochondria, the powerhouse of all cells, for better cellular health. It is designed to work in tandem with our flagship Protandim</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Nrf2 Synergizer and further enhance the body's internal ability to naturally produce antioxidants and reduce the effects of cellular stress. Protandim</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NRF1 Synergizer activates NRF1, a protein that regulates the expression of genes involved in mitochondrial DNA transcription, translation and repair. The unique blend of ingredients in Protandim</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NRF1 Synergizer supports the mitochondria to slow cellular aging and increase cellular energy.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LifeVantage TrueScience</w:t>
      </w:r>
      <w:r>
        <w:rPr>
          <w:rFonts w:ascii="Times New Roman" w:cs="Times New Roman" w:eastAsia="Times New Roman" w:hAnsi="Times New Roman"/>
          <w:sz w:val="25"/>
          <w:szCs w:val="25"/>
          <w:b w:val="1"/>
          <w:bCs w:val="1"/>
          <w:i w:val="1"/>
          <w:iCs w:val="1"/>
          <w:color w:val="auto"/>
          <w:vertAlign w:val="superscript"/>
        </w:rPr>
        <w: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sell a full line of anti-aging skin care products under our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which consists of:</w:t>
      </w:r>
    </w:p>
    <w:p>
      <w:pPr>
        <w:spacing w:after="0" w:line="60" w:lineRule="exact"/>
        <w:rPr>
          <w:sz w:val="20"/>
          <w:szCs w:val="20"/>
          <w:color w:val="auto"/>
        </w:rPr>
      </w:pPr>
    </w:p>
    <w:p>
      <w:pPr>
        <w:ind w:left="660" w:right="300" w:hanging="328"/>
        <w:spacing w:after="0" w:line="22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TrueScience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Ultra Gentle Facial Cleanser: </w:t>
      </w:r>
      <w:r>
        <w:rPr>
          <w:rFonts w:ascii="Times New Roman" w:cs="Times New Roman" w:eastAsia="Times New Roman" w:hAnsi="Times New Roman"/>
          <w:sz w:val="18"/>
          <w:szCs w:val="18"/>
          <w:color w:val="auto"/>
        </w:rPr>
        <w:t>a concentrated, ultra-rich cleanser used to remove impurities and light make-up without drying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stripping natural oils in the skin.</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TrueScience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Perfecting Lotion: </w:t>
      </w:r>
      <w:r>
        <w:rPr>
          <w:rFonts w:ascii="Times New Roman" w:cs="Times New Roman" w:eastAsia="Times New Roman" w:hAnsi="Times New Roman"/>
          <w:sz w:val="18"/>
          <w:szCs w:val="18"/>
          <w:color w:val="auto"/>
        </w:rPr>
        <w:t>a hybrid lotion formulated for smoother, radiant and brighter looking skin.</w:t>
      </w:r>
    </w:p>
    <w:p>
      <w:pPr>
        <w:spacing w:after="0" w:line="63" w:lineRule="exact"/>
        <w:rPr>
          <w:rFonts w:ascii="Times New Roman" w:cs="Times New Roman" w:eastAsia="Times New Roman" w:hAnsi="Times New Roman"/>
          <w:sz w:val="18"/>
          <w:szCs w:val="18"/>
          <w:color w:val="auto"/>
        </w:rPr>
      </w:pPr>
    </w:p>
    <w:p>
      <w:pPr>
        <w:ind w:left="660" w:right="220" w:hanging="328"/>
        <w:spacing w:after="0" w:line="22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TrueScience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Eye Corrector Serum: </w:t>
      </w:r>
      <w:r>
        <w:rPr>
          <w:rFonts w:ascii="Times New Roman" w:cs="Times New Roman" w:eastAsia="Times New Roman" w:hAnsi="Times New Roman"/>
          <w:sz w:val="18"/>
          <w:szCs w:val="18"/>
          <w:color w:val="auto"/>
        </w:rPr>
        <w:t>a serum that noticeably improves the visible signs of fine lines, creases and wrinkles around the entire eye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area, diminishes puffiness above and below the eye, firms and tightens the upper eyelid area and evens skin tone and dark circles that are visible signs of aging.</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TrueScience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Anti-Aging Cream: </w:t>
      </w:r>
      <w:r>
        <w:rPr>
          <w:rFonts w:ascii="Times New Roman" w:cs="Times New Roman" w:eastAsia="Times New Roman" w:hAnsi="Times New Roman"/>
          <w:sz w:val="18"/>
          <w:szCs w:val="18"/>
          <w:color w:val="auto"/>
        </w:rPr>
        <w:t>a cream that deeply moisturizes and helps to combat the appearance of fine lines and wrinkles.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TrueScience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Micro-Lift Serum: </w:t>
      </w:r>
      <w:r>
        <w:rPr>
          <w:rFonts w:ascii="Times New Roman" w:cs="Times New Roman" w:eastAsia="Times New Roman" w:hAnsi="Times New Roman"/>
          <w:sz w:val="18"/>
          <w:szCs w:val="18"/>
          <w:color w:val="auto"/>
        </w:rPr>
        <w:t>a serum that tightens and smooths skin around eyes to combat the appearance of fine lines and wrinkles.</w:t>
      </w:r>
    </w:p>
    <w:p>
      <w:pPr>
        <w:spacing w:after="0" w:line="68" w:lineRule="exact"/>
        <w:rPr>
          <w:sz w:val="20"/>
          <w:szCs w:val="20"/>
          <w:color w:val="auto"/>
        </w:rPr>
      </w:pPr>
    </w:p>
    <w:p>
      <w:pPr>
        <w:ind w:right="220" w:firstLine="324"/>
        <w:spacing w:after="0" w:line="234" w:lineRule="auto"/>
        <w:rPr>
          <w:sz w:val="20"/>
          <w:szCs w:val="20"/>
          <w:color w:val="auto"/>
        </w:rPr>
      </w:pPr>
      <w:r>
        <w:rPr>
          <w:rFonts w:ascii="Times New Roman" w:cs="Times New Roman" w:eastAsia="Times New Roman" w:hAnsi="Times New Roman"/>
          <w:sz w:val="18"/>
          <w:szCs w:val="18"/>
          <w:color w:val="auto"/>
        </w:rPr>
        <w:t>We received a composition patent for our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products leverage our research on Nrf2 activation and oxidative stress.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Canine Health</w:t>
      </w:r>
      <w:r>
        <w:rPr>
          <w:rFonts w:ascii="Times New Roman" w:cs="Times New Roman" w:eastAsia="Times New Roman" w:hAnsi="Times New Roman"/>
          <w:sz w:val="25"/>
          <w:szCs w:val="25"/>
          <w:b w:val="1"/>
          <w:bCs w:val="1"/>
          <w:i w:val="1"/>
          <w:iCs w:val="1"/>
          <w:color w:val="auto"/>
          <w:vertAlign w:val="superscript"/>
        </w:rPr>
        <w:t>®</w:t>
      </w:r>
    </w:p>
    <w:p>
      <w:pPr>
        <w:spacing w:after="0" w:line="66" w:lineRule="exact"/>
        <w:rPr>
          <w:sz w:val="20"/>
          <w:szCs w:val="20"/>
          <w:color w:val="auto"/>
        </w:rPr>
      </w:pPr>
    </w:p>
    <w:p>
      <w:pPr>
        <w:ind w:right="20" w:firstLine="324"/>
        <w:spacing w:after="0" w:line="205" w:lineRule="auto"/>
        <w:rPr>
          <w:sz w:val="20"/>
          <w:szCs w:val="20"/>
          <w:color w:val="auto"/>
        </w:rPr>
      </w:pPr>
      <w:r>
        <w:rPr>
          <w:rFonts w:ascii="Times New Roman" w:cs="Times New Roman" w:eastAsia="Times New Roman" w:hAnsi="Times New Roman"/>
          <w:sz w:val="18"/>
          <w:szCs w:val="18"/>
          <w:color w:val="auto"/>
        </w:rPr>
        <w:t>Canine Health</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is a supplement specially formulated to combat oxidative stress in dogs through Nrf2 activation. Canine Health</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builds upon the active ingredients in Protandim</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Nrf2 Synergizer to reduce oxidative stress and support joint function, mobility and flexibility in dogs. Canine Health</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received the Quality Seal from the National Animal Supplement Council.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Axio</w:t>
      </w:r>
      <w:r>
        <w:rPr>
          <w:rFonts w:ascii="Times New Roman" w:cs="Times New Roman" w:eastAsia="Times New Roman" w:hAnsi="Times New Roman"/>
          <w:sz w:val="25"/>
          <w:szCs w:val="25"/>
          <w:b w:val="1"/>
          <w:bCs w:val="1"/>
          <w:i w:val="1"/>
          <w:iCs w:val="1"/>
          <w:color w:val="auto"/>
          <w:vertAlign w:val="superscript"/>
        </w:rPr>
        <w:t>®</w:t>
      </w:r>
    </w:p>
    <w:p>
      <w:pPr>
        <w:spacing w:after="0" w:line="68" w:lineRule="exact"/>
        <w:rPr>
          <w:sz w:val="20"/>
          <w:szCs w:val="20"/>
          <w:color w:val="auto"/>
        </w:rPr>
      </w:pPr>
    </w:p>
    <w:p>
      <w:pPr>
        <w:ind w:right="260" w:firstLine="324"/>
        <w:spacing w:after="0" w:line="229" w:lineRule="auto"/>
        <w:rPr>
          <w:sz w:val="20"/>
          <w:szCs w:val="20"/>
          <w:color w:val="auto"/>
        </w:rPr>
      </w:pPr>
      <w:r>
        <w:rPr>
          <w:rFonts w:ascii="Times New Roman" w:cs="Times New Roman" w:eastAsia="Times New Roman" w:hAnsi="Times New Roman"/>
          <w:sz w:val="18"/>
          <w:szCs w:val="18"/>
          <w:color w:val="auto"/>
        </w:rPr>
        <w:t>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formulated to promote alertness and support mental performance. These energy drink powders deliver sustained energy, as well as improved mental focus and promote a positive mood.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derived from a unique combination of scientifically validated ingredients.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- 8-</w:t>
      </w:r>
    </w:p>
    <w:p>
      <w:pPr>
        <w:sectPr>
          <w:pgSz w:w="11900" w:h="16838" w:orient="portrait"/>
          <w:cols w:equalWidth="0" w:num="1">
            <w:col w:w="11360"/>
          </w:cols>
          <w:pgMar w:left="240" w:top="688"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PhysIQ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Smart Weight Management System.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sell a full line of weight management products under our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which consists of:</w:t>
      </w:r>
    </w:p>
    <w:p>
      <w:pPr>
        <w:spacing w:after="0" w:line="60" w:lineRule="exact"/>
        <w:rPr>
          <w:sz w:val="20"/>
          <w:szCs w:val="20"/>
          <w:color w:val="auto"/>
        </w:rPr>
      </w:pPr>
    </w:p>
    <w:p>
      <w:pPr>
        <w:ind w:left="660" w:right="180" w:hanging="328"/>
        <w:spacing w:after="0" w:line="22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PhysIQ</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Fat Burn: </w:t>
      </w:r>
      <w:r>
        <w:rPr>
          <w:rFonts w:ascii="Times New Roman" w:cs="Times New Roman" w:eastAsia="Times New Roman" w:hAnsi="Times New Roman"/>
          <w:sz w:val="18"/>
          <w:szCs w:val="18"/>
          <w:color w:val="auto"/>
        </w:rPr>
        <w:t>a supplement containing natural active ingredients to stimulate the breakdown of abdominal fat, increase energy and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weight management.</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PhysIQ</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Probio: </w:t>
      </w:r>
      <w:r>
        <w:rPr>
          <w:rFonts w:ascii="Times New Roman" w:cs="Times New Roman" w:eastAsia="Times New Roman" w:hAnsi="Times New Roman"/>
          <w:sz w:val="18"/>
          <w:szCs w:val="18"/>
          <w:color w:val="auto"/>
        </w:rPr>
        <w:t>a supplement designed to support long-term gut health by restoring healthy gut bacteria to support digestive system health.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PhysIQ</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Cleanse: </w:t>
      </w:r>
      <w:r>
        <w:rPr>
          <w:rFonts w:ascii="Times New Roman" w:cs="Times New Roman" w:eastAsia="Times New Roman" w:hAnsi="Times New Roman"/>
          <w:sz w:val="18"/>
          <w:szCs w:val="18"/>
          <w:color w:val="auto"/>
        </w:rPr>
        <w:t>a supplement designed to stimulate healthy digestion and regularity and supports the cleansing of your digestive system.</w:t>
      </w:r>
    </w:p>
    <w:p>
      <w:pPr>
        <w:spacing w:after="0" w:line="63" w:lineRule="exact"/>
        <w:rPr>
          <w:rFonts w:ascii="Times New Roman" w:cs="Times New Roman" w:eastAsia="Times New Roman" w:hAnsi="Times New Roman"/>
          <w:sz w:val="18"/>
          <w:szCs w:val="18"/>
          <w:color w:val="auto"/>
        </w:rPr>
      </w:pPr>
    </w:p>
    <w:p>
      <w:pPr>
        <w:ind w:left="660" w:right="480" w:hanging="328"/>
        <w:spacing w:after="0" w:line="22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PhysIQ</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Protein Shake: </w:t>
      </w:r>
      <w:r>
        <w:rPr>
          <w:rFonts w:ascii="Times New Roman" w:cs="Times New Roman" w:eastAsia="Times New Roman" w:hAnsi="Times New Roman"/>
          <w:sz w:val="18"/>
          <w:szCs w:val="18"/>
          <w:color w:val="auto"/>
        </w:rPr>
        <w:t>a combination of fast and slow release proteins designed to satisfy hunger and deliver amino acids to support quick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and improved muscle synthesis.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Products</w:t>
      </w:r>
    </w:p>
    <w:p>
      <w:pPr>
        <w:spacing w:after="0" w:line="14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believe our products are well suited for person-to-person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Return Policy</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All products purchased directly from us include a customer satisfaction guarantee. Subject to some exceptions based on local regulations, customers may return unopened product to us within 30 days of purchase for a refund of the purchase price less shipping and handling. In addition, our inventory repurchase program allows independent distributors who terminate their distributorship to return certain amounts of unopened, unexpired product purchased within the prior 12 months for a refund of the purchase price less a 10% restocking fee. The amount of inventory we will repurchase from an independent distributor is subject to specified consumption limitations.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generally categorize our customers as independent distributors and preferred customers.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Distributors</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An independent distributor in our company is someone who participates in our direct sales business opportunity by purchasing our products at wholesale prices and selling our products to others interested in the products. We believe our independent distributors are typically entrepreneurs who believe in our products and desire to earn income by building a business of their own. Many of our 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purchase product from us for individual consumption, but also purchase small quantities of product from us to use for demonstrations and one-off, person-to-person retailing opportunities. They also spend a large amount of their time encouraging others to purchase our products, either for personal consumption or resale.</w:t>
      </w:r>
    </w:p>
    <w:p>
      <w:pPr>
        <w:spacing w:after="0" w:line="10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While we provide support, product samples, brochures, magazines, and other sales and marketing materials, independent distributors are primarily responsible for attracting, enrolling and educating new independent distributors with respect to our products and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108" w:lineRule="exact"/>
        <w:rPr>
          <w:sz w:val="20"/>
          <w:szCs w:val="20"/>
          <w:color w:val="auto"/>
        </w:rPr>
      </w:pPr>
    </w:p>
    <w:p>
      <w:pPr>
        <w:ind w:right="20" w:firstLine="324"/>
        <w:spacing w:after="0" w:line="313" w:lineRule="auto"/>
        <w:rPr>
          <w:sz w:val="20"/>
          <w:szCs w:val="20"/>
          <w:color w:val="auto"/>
        </w:rPr>
      </w:pPr>
      <w:r>
        <w:rPr>
          <w:rFonts w:ascii="Times New Roman" w:cs="Times New Roman" w:eastAsia="Times New Roman" w:hAnsi="Times New Roman"/>
          <w:sz w:val="17"/>
          <w:szCs w:val="17"/>
          <w:color w:val="auto"/>
        </w:rPr>
        <w:t>We define “active independent distributors” as those independent distributors who have purchased product from us for retail or personal consumption during the prior three months. As of June 30, 2016 and June 30, 2015, we had approximately 69,000 and 65,000 active independent distributors, respectively.</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- 9-</w:t>
      </w:r>
    </w:p>
    <w:p>
      <w:pPr>
        <w:sectPr>
          <w:pgSz w:w="11900" w:h="16838" w:orient="portrait"/>
          <w:cols w:equalWidth="0" w:num="1">
            <w:col w:w="11360"/>
          </w:cols>
          <w:pgMar w:left="240" w:top="576" w:right="29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b w:val="1"/>
          <w:bCs w:val="1"/>
          <w:color w:val="auto"/>
        </w:rPr>
        <w:t>Independent Distributor Compensation</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believe our compensation plan is one of the more financially rewarding in the direct selling industry. Our percentage of sales paid to independent distributors as compensation and incentives is one of the highest percentages reported in the direct selling industry. Some elements of our compensation plan are paid weekly. We believe this gives us a competitive advantage and helps retain new distributors by allowing them to experience success quickly from their efforts. Our compensation plan is intended to appeal to a broad cross-section of people, particularly those seeking to supplement family income, start a home-based business or pursue entrepreneurial opportunities full- or part-time. Our independent distributors earn compensation on their product sales and product sales made by independent distributors within their sales organization, or "downline." Our independent distributors can also earn money by purchasing product from us at our wholesale cost and selling that product to others at the retail cost. We generally pay commissions in the local currency of the independent distributor’s home country.</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Independent Distributor Motivation and Training</w:t>
      </w:r>
    </w:p>
    <w:p>
      <w:pPr>
        <w:spacing w:after="0" w:line="14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revenue depends in part on the success and productivity of our independent distributors. We provide tools, training and technology designed to increase our independent distributors' productivity and increase their potential for success. We offer training and business development opportunities to our independent distributors, including the following:</w:t>
      </w:r>
    </w:p>
    <w:p>
      <w:pPr>
        <w:spacing w:after="0" w:line="9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Blueprint</w:t>
      </w:r>
      <w:r>
        <w:rPr>
          <w:rFonts w:ascii="Times New Roman" w:cs="Times New Roman" w:eastAsia="Times New Roman" w:hAnsi="Times New Roman"/>
          <w:sz w:val="18"/>
          <w:szCs w:val="18"/>
          <w:color w:val="auto"/>
        </w:rPr>
        <w:t>: professionally-designed training materials independent distributors can utilize in their sales efforts;</w:t>
      </w:r>
    </w:p>
    <w:p>
      <w:pPr>
        <w:spacing w:after="0" w:line="14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Audio Series</w:t>
      </w:r>
      <w:r>
        <w:rPr>
          <w:rFonts w:ascii="Times New Roman" w:cs="Times New Roman" w:eastAsia="Times New Roman" w:hAnsi="Times New Roman"/>
          <w:sz w:val="18"/>
          <w:szCs w:val="18"/>
          <w:color w:val="auto"/>
        </w:rPr>
        <w:t>: our weekly audio series presented by our independent distributor leaders providing training and tips on becoming more productive independent distributors;</w:t>
      </w:r>
    </w:p>
    <w:p>
      <w:pPr>
        <w:spacing w:after="0" w:line="80"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Elite Academy and Global Convention</w:t>
      </w:r>
      <w:r>
        <w:rPr>
          <w:rFonts w:ascii="Times New Roman" w:cs="Times New Roman" w:eastAsia="Times New Roman" w:hAnsi="Times New Roman"/>
          <w:sz w:val="18"/>
          <w:szCs w:val="18"/>
          <w:color w:val="auto"/>
        </w:rPr>
        <w:t>: regularly occurring company-sponsored events intended to provide training and motivation to our independent distributors;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Promotions and Incentive Trips</w:t>
      </w:r>
      <w:r>
        <w:rPr>
          <w:rFonts w:ascii="Times New Roman" w:cs="Times New Roman" w:eastAsia="Times New Roman" w:hAnsi="Times New Roman"/>
          <w:sz w:val="18"/>
          <w:szCs w:val="18"/>
          <w:color w:val="auto"/>
        </w:rPr>
        <w:t>: we hold special promotions and incentive trips from time to time in order to motivate our independent distributors to accomplish specific sales goals.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introduced the following new mobile applications for our independent distributors to use to enhance their businesses:</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LV Pro App</w:t>
      </w:r>
      <w:r>
        <w:rPr>
          <w:rFonts w:ascii="Times New Roman" w:cs="Times New Roman" w:eastAsia="Times New Roman" w:hAnsi="Times New Roman"/>
          <w:sz w:val="18"/>
          <w:szCs w:val="18"/>
          <w:color w:val="auto"/>
        </w:rPr>
        <w:t>: designed for independent distributors to access to their business in real-time, directly from their smart phone;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LV Share App</w:t>
      </w:r>
      <w:r>
        <w:rPr>
          <w:rFonts w:ascii="Times New Roman" w:cs="Times New Roman" w:eastAsia="Times New Roman" w:hAnsi="Times New Roman"/>
          <w:sz w:val="18"/>
          <w:szCs w:val="18"/>
          <w:color w:val="auto"/>
        </w:rPr>
        <w:t>: uses social media as an effective tool to connect and expand social reach on sites like Facebook, Twitter, Pinterest and Instagram;</w:t>
      </w:r>
    </w:p>
    <w:p>
      <w:pPr>
        <w:spacing w:after="0" w:line="14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Brandr App</w:t>
      </w:r>
      <w:r>
        <w:rPr>
          <w:rFonts w:ascii="Times New Roman" w:cs="Times New Roman" w:eastAsia="Times New Roman" w:hAnsi="Times New Roman"/>
          <w:sz w:val="18"/>
          <w:szCs w:val="18"/>
          <w:color w:val="auto"/>
        </w:rPr>
        <w:t>: library equipped with professionally-designed overlays with LifeVantage’s branding and other useful tools, including quotes, tips and facts independent distributors can share with their social networks; and</w:t>
      </w:r>
    </w:p>
    <w:p>
      <w:pPr>
        <w:spacing w:after="0" w:line="8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LV Move App</w:t>
      </w:r>
      <w:r>
        <w:rPr>
          <w:rFonts w:ascii="Times New Roman" w:cs="Times New Roman" w:eastAsia="Times New Roman" w:hAnsi="Times New Roman"/>
          <w:sz w:val="18"/>
          <w:szCs w:val="18"/>
          <w:color w:val="auto"/>
        </w:rPr>
        <w:t>: platform designed to engage new distributors upon enrollment and mentor existing distributors to help them launch their respective businesses.</w:t>
      </w:r>
    </w:p>
    <w:p>
      <w:pPr>
        <w:spacing w:after="0" w:line="81" w:lineRule="exact"/>
        <w:rPr>
          <w:sz w:val="20"/>
          <w:szCs w:val="20"/>
          <w:color w:val="auto"/>
        </w:rPr>
      </w:pPr>
    </w:p>
    <w:p>
      <w:pPr>
        <w:ind w:left="340" w:right="1120"/>
        <w:spacing w:after="0" w:line="407" w:lineRule="auto"/>
        <w:rPr>
          <w:sz w:val="20"/>
          <w:szCs w:val="20"/>
          <w:color w:val="auto"/>
        </w:rPr>
      </w:pPr>
      <w:r>
        <w:rPr>
          <w:rFonts w:ascii="Times New Roman" w:cs="Times New Roman" w:eastAsia="Times New Roman" w:hAnsi="Times New Roman"/>
          <w:sz w:val="18"/>
          <w:szCs w:val="18"/>
          <w:color w:val="auto"/>
        </w:rPr>
        <w:t xml:space="preserve">We are continuing to evaluate new ways in which to incorporate new technology and training opportunities to improve distributor success. </w:t>
      </w:r>
      <w:r>
        <w:rPr>
          <w:rFonts w:ascii="Times New Roman" w:cs="Times New Roman" w:eastAsia="Times New Roman" w:hAnsi="Times New Roman"/>
          <w:sz w:val="18"/>
          <w:szCs w:val="18"/>
          <w:b w:val="1"/>
          <w:bCs w:val="1"/>
          <w:color w:val="auto"/>
        </w:rPr>
        <w:t>Distributor Compliance Activities</w:t>
      </w: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Given that our independent distributors are independent contractors, we do not control or direct their promotional efforts. We do, however, require that our independent distributors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9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Independent distributors must represent to us that their receipt of commissions is based on retail sales and substantial personal sales efforts. We must produce or pre-approve all sales aids used by distributors such as brochures and online materials. Products may be promoted only by personal contact or by collateral materials produced or approved by us. Independent distributors may not use our trademarks or other intellectual property without our consent.</w:t>
      </w:r>
    </w:p>
    <w:p>
      <w:pPr>
        <w:spacing w:after="0" w:line="9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monitor and systematically review alleged independent distributor misbehavior through our internal compliance department. If we determine one of our independent distributors has violated any of our policies and procedures, we may discipline the independent distributor and may terminate the independent distributor’s rights to distribute our products. When necessary, we have brought legal action against independent distributors, or former independent distributors, to enforce our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w:t>
      </w:r>
    </w:p>
    <w:p>
      <w:pPr>
        <w:sectPr>
          <w:pgSz w:w="11900" w:h="16838" w:orient="portrait"/>
          <w:cols w:equalWidth="0" w:num="1">
            <w:col w:w="11420"/>
          </w:cols>
          <w:pgMar w:left="240" w:top="576" w:right="239" w:bottom="1440" w:gutter="0" w:footer="0" w:header="0"/>
        </w:sectPr>
      </w:pPr>
    </w:p>
    <w:bookmarkStart w:id="10" w:name="page11"/>
    <w:bookmarkEnd w:id="10"/>
    <w:p>
      <w:pPr>
        <w:ind w:right="140"/>
        <w:spacing w:after="0" w:line="266" w:lineRule="auto"/>
        <w:rPr>
          <w:sz w:val="20"/>
          <w:szCs w:val="20"/>
          <w:color w:val="auto"/>
        </w:rPr>
      </w:pPr>
      <w:r>
        <w:rPr>
          <w:rFonts w:ascii="Times New Roman" w:cs="Times New Roman" w:eastAsia="Times New Roman" w:hAnsi="Times New Roman"/>
          <w:sz w:val="18"/>
          <w:szCs w:val="18"/>
          <w:color w:val="auto"/>
        </w:rPr>
        <w:t>policies and procedures. Short of termination or legal action, we may impose sanctions against independent distributors 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Customers</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Preferred customers are customers who purchase products directly from us at our wholesale price on a monthly auto-ship basis for personal consumption, without the intent to resell or earn commissions from the sale of products. A preferred customer may enroll as an independent distributor at any time if he or she becomes interested in reselling the product. We believe our preferred customers are a great source of word-of-mouth advertising for our products. We also believe our large base of preferred customers validates the benefits of our products, separate from the direct selling business opportunity.</w:t>
      </w:r>
    </w:p>
    <w:p>
      <w:pPr>
        <w:spacing w:after="0" w:line="9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define an “active preferred customer” as a preferred customer who has purchased product from us within the prior three months. As of June 30, 2016 and June 30, 2015, we had approximately 117,000 and 115,000 active preferred customers,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Our Products</w:t>
      </w:r>
    </w:p>
    <w:p>
      <w:pPr>
        <w:spacing w:after="0" w:line="14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9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offer toll-free numbers for our independent distributors and other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Independent distributors and preferred customers generally pay for products by credit card, prior to shipment, and as a result, we carry minimal accounts receivable.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We believe that direct selling in Japan and the United States is also generally negatively impacted during our first fiscal quarter, from July 1 through September 30, when many individuals, including our independent distributors, traditionally take vacations.</w:t>
      </w:r>
    </w:p>
    <w:p>
      <w:pPr>
        <w:spacing w:after="0" w:line="9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Although our product launch process may vary by market, we may introduce new products to our independent distributors and customers through limited-time offers and promotions. The limited-time offers and promotions typically generate significant activity and a high level of purchasing, which may result in a higher than normal increase in revenue during the quarter of the limited-time offer and skew year-over-year and sequential comparisons.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currently sell and distribute products in the United States, Japan, Hong Kong, Australia, Canada, Philippines, Mexico, Thailand, the United Kingdom and the Netherlands. In fiscal year 2016, revenue generated in the United States accounted for approximately 74% of our total revenue and revenue generated from Japan accounted for approximately 18%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158,291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48,249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206,540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190,336</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213,968</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820" w:firstLine="324"/>
        <w:spacing w:after="0" w:line="284" w:lineRule="auto"/>
        <w:rPr>
          <w:sz w:val="20"/>
          <w:szCs w:val="20"/>
          <w:color w:val="auto"/>
        </w:rPr>
      </w:pPr>
      <w:r>
        <w:rPr>
          <w:rFonts w:ascii="Times New Roman" w:cs="Times New Roman" w:eastAsia="Times New Roman" w:hAnsi="Times New Roman"/>
          <w:sz w:val="18"/>
          <w:szCs w:val="18"/>
          <w:color w:val="auto"/>
        </w:rPr>
        <w:t>Additional comparative revenue and related financial information is presented in the section captioned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2 to our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4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 sales, marketing, public relations and customer service group consisting of 70 full-time employees as of June 30, 2016. We utilize our network of independent distributors located throughout the United States, Australia, Hong Kong, Japan, Canada, Philippines, Mexico, Thailand, the United Kingdom and the Netherlands to market and sell our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Manufacturing</w:t>
      </w:r>
    </w:p>
    <w:p>
      <w:pPr>
        <w:spacing w:after="0" w:line="14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outsource the primary manufacturing, fulfillment, and shipping components of our business to companies we believe possess a high degree of expertise. We believe outsourcing provides us access to advanced manufacturing process capabilities and expertise without incurring fixed costs associated with manufacturing our own products.</w:t>
      </w:r>
    </w:p>
    <w:p>
      <w:pPr>
        <w:spacing w:after="0" w:line="95" w:lineRule="exact"/>
        <w:rPr>
          <w:sz w:val="20"/>
          <w:szCs w:val="20"/>
          <w:color w:val="auto"/>
        </w:rPr>
      </w:pPr>
    </w:p>
    <w:p>
      <w:pPr>
        <w:ind w:right="60" w:firstLine="324"/>
        <w:spacing w:after="0" w:line="228" w:lineRule="auto"/>
        <w:rPr>
          <w:sz w:val="20"/>
          <w:szCs w:val="20"/>
          <w:color w:val="auto"/>
        </w:rPr>
      </w:pPr>
      <w:r>
        <w:rPr>
          <w:rFonts w:ascii="Times New Roman" w:cs="Times New Roman" w:eastAsia="Times New Roman" w:hAnsi="Times New Roman"/>
          <w:sz w:val="18"/>
          <w:szCs w:val="18"/>
          <w:color w:val="auto"/>
        </w:rPr>
        <w:t>We currently outsource the manufacturing of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products to multiple contract manufacturers. Our contract manufacturers of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have a legal obligation to comply with the current Good Manufacturing Practices regulations that are applicable to those who manufacture, package, label and hold dietary supplements.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We maintain and qualify alternative manufacturing options in order to keep our costs low, maintain the quality of our products, and be prepared for unanticipated spikes in demand or manufacturing failure. Our contract manufacturers deliver products to our fulfillment centers based on our purchase orders.</w:t>
      </w:r>
    </w:p>
    <w:p>
      <w:pPr>
        <w:spacing w:after="0" w:line="11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Times New Roman" w:cs="Times New Roman" w:eastAsia="Times New Roman" w:hAnsi="Times New Roman"/>
          <w:sz w:val="18"/>
          <w:szCs w:val="18"/>
          <w:i w:val="1"/>
          <w:iCs w:val="1"/>
          <w:color w:val="auto"/>
        </w:rPr>
        <w:t>Risk Factors - High quality material for our products may be difficult to obtain or expensive</w:t>
      </w:r>
      <w:r>
        <w:rPr>
          <w:rFonts w:ascii="Times New Roman" w:cs="Times New Roman" w:eastAsia="Times New Roman" w:hAnsi="Times New Roman"/>
          <w:sz w:val="18"/>
          <w:szCs w:val="18"/>
          <w:color w:val="auto"/>
        </w:rPr>
        <w:t>" for a discussion of the risks and uncertainties associated with our sourcing of raw materials.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Other Insurance</w:t>
      </w:r>
    </w:p>
    <w:p>
      <w:pPr>
        <w:spacing w:after="0" w:line="14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have product liability insurance coverage for our products that we believe is adequate for our needs. We also maintain commercial property and liability coverage and directors’ and officers’ liability insurance.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use commercially reasonable efforts to protect our intellectual property and license rights through patent protection, trade secrets and contractual protections, and intend to continue to develop a strong brand identity for our company and our products.</w:t>
      </w:r>
    </w:p>
    <w:p>
      <w:pPr>
        <w:spacing w:after="0" w:line="81" w:lineRule="exact"/>
        <w:rPr>
          <w:sz w:val="20"/>
          <w:szCs w:val="20"/>
          <w:color w:val="auto"/>
        </w:rPr>
      </w:pPr>
    </w:p>
    <w:p>
      <w:pPr>
        <w:ind w:firstLine="324"/>
        <w:spacing w:after="0" w:line="220" w:lineRule="auto"/>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is a proprietary, patented dietary supplement formulation for enhancing antioxidant enzymes including superoxide dismutase and catalase. The patents and patent applications protecting this formulation are held by our wholly-owned subsidiary, Lifeline Nutraceuticals Corporation. Our intellectual property is covered, in part, by seven issued U.S. and eight issued foreign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formulation. The expected duration of our patent protection via granted patents for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is through approximately March 2025. In fiscal 2016, we received a composition patent for our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products. This patent expires in approximately April 2034.</w:t>
      </w:r>
    </w:p>
    <w:p>
      <w:pPr>
        <w:spacing w:after="0" w:line="24" w:lineRule="exact"/>
        <w:rPr>
          <w:sz w:val="20"/>
          <w:szCs w:val="20"/>
          <w:color w:val="auto"/>
        </w:rPr>
      </w:pPr>
    </w:p>
    <w:p>
      <w:pPr>
        <w:jc w:val="both"/>
        <w:ind w:right="580" w:firstLine="324"/>
        <w:spacing w:after="0" w:line="228" w:lineRule="auto"/>
        <w:rPr>
          <w:sz w:val="20"/>
          <w:szCs w:val="20"/>
          <w:color w:val="auto"/>
        </w:rPr>
      </w:pPr>
      <w:r>
        <w:rPr>
          <w:rFonts w:ascii="Times New Roman" w:cs="Times New Roman" w:eastAsia="Times New Roman" w:hAnsi="Times New Roman"/>
          <w:sz w:val="18"/>
          <w:szCs w:val="18"/>
          <w:color w:val="auto"/>
        </w:rPr>
        <w:t>We continue to protect our products and brands using trademarks. We have filed and successfully procured registered trademarks for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LifeVantage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many countries around the world, and we have pending trademark applications in many other countries. We anticipate seeking protection in other countries as we deem appropriate.</w:t>
      </w:r>
    </w:p>
    <w:p>
      <w:pPr>
        <w:spacing w:after="0" w:line="11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Selling Companies</w:t>
      </w:r>
    </w:p>
    <w:p>
      <w:pPr>
        <w:spacing w:after="0" w:line="14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compete with other direct selling companies, many of which have longer operating histories and greater visibility, name recognition and financial resources than we do. We also compete with newer direct selling companies that attempt to</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w:t>
      </w:r>
    </w:p>
    <w:p>
      <w:pPr>
        <w:sectPr>
          <w:pgSz w:w="11900" w:h="16838" w:orient="portrait"/>
          <w:cols w:equalWidth="0" w:num="1">
            <w:col w:w="11420"/>
          </w:cols>
          <w:pgMar w:left="240" w:top="576" w:right="239" w:bottom="1440" w:gutter="0" w:footer="0" w:header="0"/>
        </w:sectPr>
      </w:pPr>
    </w:p>
    <w:bookmarkStart w:id="12" w:name="page13"/>
    <w:bookmarkEnd w:id="12"/>
    <w:p>
      <w:pPr>
        <w:ind w:right="220"/>
        <w:spacing w:after="0" w:line="261" w:lineRule="auto"/>
        <w:rPr>
          <w:sz w:val="20"/>
          <w:szCs w:val="20"/>
          <w:color w:val="auto"/>
        </w:rPr>
      </w:pPr>
      <w:r>
        <w:rPr>
          <w:rFonts w:ascii="Times New Roman" w:cs="Times New Roman" w:eastAsia="Times New Roman" w:hAnsi="Times New Roman"/>
          <w:sz w:val="18"/>
          <w:szCs w:val="18"/>
          <w:color w:val="auto"/>
        </w:rPr>
        <w:t>solicit our independent distributors by offering the possibility of a more financially rewarding opportunity by being among the Company's early distributor base. We compete for new independent distributors with these companies on the basis of our business opportunity, product offerings, compensation plan, management and our operations. In order to successfully compete in the direct selling industry and attract and retain independent distributors, we must maintain the attractiveness of our business opportunity, product offerings and compensation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Dietary Supplement Market</w:t>
      </w:r>
    </w:p>
    <w:p>
      <w:pPr>
        <w:spacing w:after="0" w:line="14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compete with other companies that sell dietary supplements. We believe the dietary supplement market is a highly fragmented and competitive market. We believe competition in the dietary supplement market is based primarily on quality, 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Nrf2 Activators</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last few years we have seen the number of products marketed as Nrf2 activators increase, and we are currently aware of at least five such products. We anticipate the number of products that claim to activate Nrf2 will continue to increase as the technology becomes more popular and more broadly accepted. Although we are unaware of any competing direct selling company marketing products as Nrf2 activators, we are aware that at least two competing direct selling companies have sponsored research studies related to Nrf2 activation.</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Direct Antioxidants</w:t>
      </w:r>
    </w:p>
    <w:p>
      <w:pPr>
        <w:spacing w:after="0" w:line="148" w:lineRule="exact"/>
        <w:rPr>
          <w:sz w:val="20"/>
          <w:szCs w:val="20"/>
          <w:color w:val="auto"/>
        </w:rPr>
      </w:pPr>
    </w:p>
    <w:p>
      <w:pPr>
        <w:ind w:right="120" w:firstLine="324"/>
        <w:spacing w:after="0" w:line="206" w:lineRule="auto"/>
        <w:rPr>
          <w:sz w:val="20"/>
          <w:szCs w:val="20"/>
          <w:color w:val="auto"/>
        </w:rPr>
      </w:pPr>
      <w:r>
        <w:rPr>
          <w:rFonts w:ascii="Times New Roman" w:cs="Times New Roman" w:eastAsia="Times New Roman" w:hAnsi="Times New Roman"/>
          <w:sz w:val="18"/>
          <w:szCs w:val="18"/>
          <w:color w:val="auto"/>
        </w:rPr>
        <w:t>Vitamin C, Vitamin E, Coenzyme Q-10, and other sources of externally derived antioxidants may be considered competitors of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but they are mechanistically distinct from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These other sources of antioxidants do not increase the body’s elimination of oxidants using internal antioxidant enzymes. Our research indicates that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increases production of hundreds of stress-related anti-inflammatory, and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Oral Superoxide Dismutase and Catalase</w:t>
      </w:r>
    </w:p>
    <w:p>
      <w:pPr>
        <w:spacing w:after="0" w:line="148" w:lineRule="exact"/>
        <w:rPr>
          <w:sz w:val="20"/>
          <w:szCs w:val="20"/>
          <w:color w:val="auto"/>
        </w:rPr>
      </w:pPr>
    </w:p>
    <w:p>
      <w:pPr>
        <w:ind w:right="80" w:firstLine="324"/>
        <w:spacing w:after="0" w:line="234" w:lineRule="auto"/>
        <w:rPr>
          <w:sz w:val="20"/>
          <w:szCs w:val="20"/>
          <w:color w:val="auto"/>
        </w:rPr>
      </w:pPr>
      <w:r>
        <w:rPr>
          <w:rFonts w:ascii="Times New Roman" w:cs="Times New Roman" w:eastAsia="Times New Roman" w:hAnsi="Times New Roman"/>
          <w:sz w:val="18"/>
          <w:szCs w:val="18"/>
          <w:color w:val="auto"/>
        </w:rPr>
        <w:t>There are many companies performing research into antioxidants. Several companies sell oral forms of superoxide dismutase and catalase. Although we believe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 superior alternative to oral forms of superoxide dismutase and catalase, these products do compete with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marketplace. We anticipate additional companies will likely develop, purchase or in-license products that are competitive with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Skin Care Market</w:t>
      </w:r>
    </w:p>
    <w:p>
      <w:pPr>
        <w:spacing w:after="0" w:line="148"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skin care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Animal Supplement Market</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Drink Market</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 is a no sugar, low-carbohydrate and low calorie energy drink that is also non-GMO, gluten-free and vegan.</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- 13-</w:t>
      </w:r>
    </w:p>
    <w:p>
      <w:pPr>
        <w:sectPr>
          <w:pgSz w:w="11900" w:h="16838" w:orient="portrait"/>
          <w:cols w:equalWidth="0" w:num="1">
            <w:col w:w="11380"/>
          </w:cols>
          <w:pgMar w:left="240" w:top="580"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Weight Management Market</w:t>
      </w:r>
    </w:p>
    <w:p>
      <w:pPr>
        <w:spacing w:after="0" w:line="14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4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Regulations and DSHEA</w:t>
      </w:r>
    </w:p>
    <w:p>
      <w:pPr>
        <w:spacing w:after="0" w:line="148" w:lineRule="exact"/>
        <w:rPr>
          <w:sz w:val="20"/>
          <w:szCs w:val="20"/>
          <w:color w:val="auto"/>
        </w:rPr>
      </w:pPr>
    </w:p>
    <w:p>
      <w:pPr>
        <w:ind w:right="20" w:firstLine="324"/>
        <w:spacing w:after="0" w:line="214" w:lineRule="auto"/>
        <w:rPr>
          <w:sz w:val="20"/>
          <w:szCs w:val="20"/>
          <w:color w:val="auto"/>
        </w:rPr>
      </w:pPr>
      <w:r>
        <w:rPr>
          <w:rFonts w:ascii="Times New Roman" w:cs="Times New Roman" w:eastAsia="Times New Roman" w:hAnsi="Times New Roman"/>
          <w:sz w:val="18"/>
          <w:szCs w:val="18"/>
          <w:color w:val="auto"/>
        </w:rPr>
        <w:t>We market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are not required to obtain FDA pre-market approval to sell our products in the United States under current laws.</w:t>
      </w:r>
    </w:p>
    <w:p>
      <w:pPr>
        <w:spacing w:after="0" w:line="11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statement of nutritional support in labeling must possess evidence substantiating that the statement is truthful and not misleading and is supported by competent and reliable scientific evidence.</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FDA may assert that a particular statement of nutritional support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9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180" w:lineRule="exact"/>
        <w:rPr>
          <w:sz w:val="20"/>
          <w:szCs w:val="20"/>
          <w:color w:val="auto"/>
        </w:rPr>
      </w:pPr>
    </w:p>
    <w:p>
      <w:pPr>
        <w:ind w:right="160" w:firstLine="324"/>
        <w:spacing w:after="0" w:line="228" w:lineRule="auto"/>
        <w:rPr>
          <w:sz w:val="20"/>
          <w:szCs w:val="20"/>
          <w:color w:val="auto"/>
        </w:rPr>
      </w:pPr>
      <w:r>
        <w:rPr>
          <w:rFonts w:ascii="Times New Roman" w:cs="Times New Roman" w:eastAsia="Times New Roman" w:hAnsi="Times New Roman"/>
          <w:sz w:val="18"/>
          <w:szCs w:val="18"/>
          <w:color w:val="auto"/>
        </w:rPr>
        <w:t>The FDA's Center for Veterinary Medicine, or CVM, is responsible for enforcing the portion of the Federal Food, Drug, and Cosmetic Act, or the Act, that relates to animal supplements, like our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CVM's primary responsibility in enforcing the Act is to ensure that animal supplements are safe, effective, and can be manufactured to a consistent standard.</w:t>
      </w:r>
    </w:p>
    <w:p>
      <w:pPr>
        <w:spacing w:after="0" w:line="6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investors, independent distributors, vendors, and consumers.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FTC Regulations</w:t>
      </w:r>
    </w:p>
    <w:p>
      <w:pPr>
        <w:spacing w:after="0" w:line="14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Advertising and marketing of our products in the United States are also subject to regulation by the FTC under the Federal Trade Commission Act, or FTC Act. Among other things, the FTC Act prohibits unfair methods of competition and unfair false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w:t>
      </w:r>
    </w:p>
    <w:p>
      <w:pPr>
        <w:sectPr>
          <w:pgSz w:w="11900" w:h="16838" w:orient="portrait"/>
          <w:cols w:equalWidth="0" w:num="1">
            <w:col w:w="11420"/>
          </w:cols>
          <w:pgMar w:left="240" w:top="576" w:right="2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or deceptive acts or practices in or affecting commerce. The FTC Act also makes it illegal to disseminate or cause to be disseminated any false advertisement.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110"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National Advertising Division, or NAD, of the national Better Business Bureau, a non-governmental not-for-profit organization through its Advertising Self-Regulatory Council, or ASRC, is also actively engaged in conducting investigations, called inquiries, which are focused on determining whether the requisite claim substantiation standard exists for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Direct Selling Activities</w:t>
      </w:r>
    </w:p>
    <w:p>
      <w:pPr>
        <w:spacing w:after="0" w:line="148"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significant emphasis on product sales. The laws and regulations often:</w:t>
      </w:r>
    </w:p>
    <w:p>
      <w:pPr>
        <w:spacing w:after="0" w:line="9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or our distributors to register with governmental agencies;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caps on the amount of commission we can pay;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reporting requirements; and</w:t>
      </w:r>
    </w:p>
    <w:p>
      <w:pPr>
        <w:spacing w:after="0" w:line="14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ensure, among other things, that our distributors maintain levels of product sales to qualify to receive commissions and that our distributors are being compensated primarily for sales of products and not primarily for recruiting additional participants.</w:t>
      </w:r>
    </w:p>
    <w:p>
      <w:pPr>
        <w:spacing w:after="0" w:line="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compensation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Food Safety Modernization Act</w:t>
      </w:r>
    </w:p>
    <w:p>
      <w:pPr>
        <w:spacing w:after="0" w:line="14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95" w:lineRule="exact"/>
        <w:rPr>
          <w:sz w:val="20"/>
          <w:szCs w:val="20"/>
          <w:color w:val="auto"/>
        </w:rPr>
      </w:pPr>
    </w:p>
    <w:p>
      <w:pPr>
        <w:ind w:left="660" w:righ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FDA explicit authority to inspect and copy certain records related to any food and to compel a recall if the FDA believes there is a reasonable probability of serious adverse health consequences or death;</w:t>
      </w:r>
    </w:p>
    <w:p>
      <w:pPr>
        <w:spacing w:after="0" w:line="323"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580" w:right="279" w:bottom="1440" w:gutter="0" w:footer="0" w:header="0"/>
        </w:sectPr>
      </w:pPr>
    </w:p>
    <w:bookmarkStart w:id="15" w:name="page16"/>
    <w:bookmarkEnd w:id="15"/>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strict obligations on food and dietary supplement importers to verify that food from foreign suppliers is not adulterated or misbranded; and</w:t>
      </w:r>
    </w:p>
    <w:p>
      <w:pPr>
        <w:spacing w:after="0" w:line="14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whistle blower protection for employees of conventional food or dietary supplement companies who provide information to governmental authorities about violations of the FFDCA.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Regulations</w:t>
      </w:r>
    </w:p>
    <w:p>
      <w:pPr>
        <w:spacing w:after="0" w:line="148" w:lineRule="exact"/>
        <w:rPr>
          <w:sz w:val="20"/>
          <w:szCs w:val="20"/>
          <w:color w:val="auto"/>
        </w:rPr>
      </w:pPr>
    </w:p>
    <w:p>
      <w:pPr>
        <w:ind w:right="40" w:firstLine="324"/>
        <w:spacing w:after="0" w:line="211" w:lineRule="auto"/>
        <w:rPr>
          <w:sz w:val="20"/>
          <w:szCs w:val="20"/>
          <w:color w:val="auto"/>
        </w:rPr>
      </w:pPr>
      <w:r>
        <w:rPr>
          <w:rFonts w:ascii="Times New Roman" w:cs="Times New Roman" w:eastAsia="Times New Roman" w:hAnsi="Times New Roman"/>
          <w:sz w:val="18"/>
          <w:szCs w:val="18"/>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distribution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While we disagree with the assessment of ashwagandha by Japanese regulatory authorities, we are restricted from selling a formulation of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that contains ashwagandha in Japan. As such, we reformulated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for the Japan market to exclude ashwagandha. This reformulated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was introduced in Japan in fiscal 2013.</w:t>
      </w:r>
    </w:p>
    <w:p>
      <w:pPr>
        <w:spacing w:after="0" w:line="122"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FDA and Other Regulation</w:t>
      </w:r>
    </w:p>
    <w:p>
      <w:pPr>
        <w:spacing w:after="0" w:line="148"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general, the regulatory environment is becoming more complex with increasingly strict regulations.</w:t>
      </w:r>
    </w:p>
    <w:p>
      <w:pPr>
        <w:spacing w:after="0" w:line="87"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to include a domestic address or telephone number by which the company selling the product may receive a report of a serious adverse event associated with such product. The labels of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comply with that statutory provision.</w:t>
      </w:r>
    </w:p>
    <w:p>
      <w:pPr>
        <w:spacing w:after="0" w:line="10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Legislation known as the Dietary Supplement Labeling Act was introduced in the United States in 2013. This proposed legislation purports to help consumers distinguish between dietary supplements that are safe and those that have potentially serious side-effects or drug interactions. The Dietary Supplement Labeling Act would require dietary supplement manufacturers to disclose known ingredient risks and display mandatory warnings if a product contains an ingredient that could cause potentially serious adverse events. Although it is not currently known if, or in what form, the Dietary Supplement Labeling Act will be enacted, it could create additional regulatory burdens on our business and increase our cost of goods sold.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and June 30, 2015, we had 208 and 166 full time employees, respectively. As of June 30, 2016, 160 of our full time employees were based in the United States, 36 were based in Japan, nine were based in Thailand and three were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- 16-</w:t>
      </w:r>
    </w:p>
    <w:p>
      <w:pPr>
        <w:sectPr>
          <w:pgSz w:w="11900" w:h="16838" w:orient="portrait"/>
          <w:cols w:equalWidth="0" w:num="1">
            <w:col w:w="11380"/>
          </w:cols>
          <w:pgMar w:left="240" w:top="580" w:right="279" w:bottom="1440" w:gutter="0" w:footer="0" w:header="0"/>
        </w:sectPr>
      </w:pPr>
    </w:p>
    <w:bookmarkStart w:id="16" w:name="page17"/>
    <w:bookmarkEnd w:id="16"/>
    <w:p>
      <w:pPr>
        <w:ind w:right="480"/>
        <w:spacing w:after="0" w:line="282" w:lineRule="auto"/>
        <w:rPr>
          <w:sz w:val="20"/>
          <w:szCs w:val="20"/>
          <w:color w:val="auto"/>
        </w:rPr>
      </w:pPr>
      <w:r>
        <w:rPr>
          <w:rFonts w:ascii="Times New Roman" w:cs="Times New Roman" w:eastAsia="Times New Roman" w:hAnsi="Times New Roman"/>
          <w:sz w:val="18"/>
          <w:szCs w:val="18"/>
          <w:color w:val="auto"/>
        </w:rPr>
        <w:t>based in Hong Kong. We do not include our independent distributors in our number of employees because our independent distributors are independent contractors and not employees. We outsource our manufacturing and distribution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offices are located at 9785 S. Monroe Street, Suite 300, Sandy, UT 84070. Our telephone number is (801) 432-9000 and our fax number is</w:t>
      </w:r>
    </w:p>
    <w:p>
      <w:pPr>
        <w:spacing w:after="0" w:line="27" w:lineRule="exact"/>
        <w:rPr>
          <w:sz w:val="20"/>
          <w:szCs w:val="20"/>
          <w:color w:val="auto"/>
        </w:rPr>
      </w:pPr>
    </w:p>
    <w:p>
      <w:pPr>
        <w:ind w:right="220" w:firstLine="8"/>
        <w:spacing w:after="0" w:line="261"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880-0699. Our website address is www.lifevantage.com; however, information found on our website is not incorporated by reference into this report. Our website address is included in this annual report as an inactive textual reference only.</w:t>
      </w:r>
    </w:p>
    <w:p>
      <w:pPr>
        <w:spacing w:after="0" w:line="9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reports filed with the Securities and Exchange Commission, or SEC, by us and by our officers, directors, and significant shareholders are available for review on the SEC’s website at www.sec.gov. You may also read and copy materials that we file with the SEC at the SEC’s Public Reference Room at 100 F Street, NE, Washington, DC 20549. You may obtain information on the operation of the Public Reference Room by calling the SEC at 1-800-SEC-0330.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4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Company</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matters relating to our audit committee’s independent review into sales of our products in certain international markets may continue to have adverse effects on our financial results.</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disclosed in more detail in Item 9A below, on September 13, 2016, we announced the delayed filing of this Annual Report on Form 10-K to allow the audit committee of our board of directors, with the assistance of outside legal counsel, to conduct an independent review related to the distribution of our products into countries outside the U.S. in which those products are not registered or that otherwise impose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The audit committee and our management team also reviewed the impact of these sales on our financial statements and reports filed with the Securities and Exchange Commission. This review has required us to expend significant management time and incur significant accounting, legal, and other expenses. Through the end of the first two quarters of fiscal 2017, we expect to incur between approximately $2.5 million to $3.0 million in additional selling, general and administrative expense related to the audit committee review and management’s assessment of the related financial and internal control impact. In addition, through approximately the end of fiscal 2017, we expect to incur significant additional expenses associated with the remediation of internal controls over financial reporting and managing related operational issues.</w:t>
      </w:r>
    </w:p>
    <w:p>
      <w:pPr>
        <w:spacing w:after="0" w:line="7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Based on its review, the audit committee determined that (i) we had sold our products to independent distributors who carried or shipped such products primarily into four countries outside the U.S. in which those products are not registered or that otherwise impose stringent restrictions on our direct selling model; (ii) we allowed individuals who were resident in countries that impose stringent restrictions on our direct selling model to enroll as independent distributors; and (iii) we did not have in place sufficient controls governing our international business policies, practices, monitoring and training to provide reasonable assurance that such distribution of our products complied with applicable customs, tax and other regulatory requirements. We have taken steps to help ensure that our products are not distributed or sold into countries without complying with applicable customs, tax and other regulatory requirements and to appropriately verify the residency of individuals who want to become our independent distributors. Consistent with these regulatory requirements, in the future our independent distributors may be able to purchase a limited quantity of such products for personal consumption in one or more of these countries. Nevertheless, we expect that our revenue in future periods from sales of our products that are carried or shipped into these countries will be significantly lower than fiscal 2016.</w:t>
      </w:r>
    </w:p>
    <w:p>
      <w:pPr>
        <w:spacing w:after="0" w:line="7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a purported securities class action lawsuit has been filed against us, our directors and certain of our executive officers alleging that the Company, our Chief Executive Officer and our Chief Financial Officer violated Sections 10(b) and/or 20(a) of the Securities Exchange Act of 1934, 15 U.S.C. §§ 78j(b), 78t(a), and Rule 10b-5, 17 C.F.R. § 240.10b-5, promulgated thereunder, by making false or misleading statements or omissions in public filings with the Securities and Exchange Commission regarding our internal control over financial reporting and our financial results for the first, second and third quarters of fiscal year 2016. Additionally, a purported shareholder derivative action was filed purportedly on behalf of the Company, alleging that our chief executive officer, our chief financial officer and members of our board of directors breached their fiduciary duties owed to the Company by, among other things, causing or permitting the Company to issue false and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w:t>
      </w:r>
    </w:p>
    <w:p>
      <w:pPr>
        <w:sectPr>
          <w:pgSz w:w="11900" w:h="16838" w:orient="portrait"/>
          <w:cols w:equalWidth="0" w:num="1">
            <w:col w:w="11400"/>
          </w:cols>
          <w:pgMar w:left="240" w:top="580" w:right="259" w:bottom="1440" w:gutter="0" w:footer="0" w:header="0"/>
        </w:sectPr>
      </w:pPr>
    </w:p>
    <w:bookmarkStart w:id="17" w:name="page18"/>
    <w:bookmarkEnd w:id="17"/>
    <w:p>
      <w:pPr>
        <w:ind w:right="40"/>
        <w:spacing w:after="0" w:line="261" w:lineRule="auto"/>
        <w:rPr>
          <w:sz w:val="20"/>
          <w:szCs w:val="20"/>
          <w:color w:val="auto"/>
        </w:rPr>
      </w:pPr>
      <w:r>
        <w:rPr>
          <w:rFonts w:ascii="Times New Roman" w:cs="Times New Roman" w:eastAsia="Times New Roman" w:hAnsi="Times New Roman"/>
          <w:sz w:val="18"/>
          <w:szCs w:val="18"/>
          <w:color w:val="auto"/>
        </w:rPr>
        <w:t>misleading statements or omissions in its public filings with the Securities and Exchange Commission, as alleged in the class action lawsuit noted above. The defendants in these lawsuits plan to vigorously defend against them. Nonetheless, an unfavorable resolution of these matters could have a material adverse effect on our business, results of operations, financial condition and the trading price for our securities. See Note 11 Commitments and Contingencies in our Consolidated Financial Statements for a more detailed description of these lawsuits.</w:t>
      </w:r>
    </w:p>
    <w:p>
      <w:pPr>
        <w:spacing w:after="0" w:line="7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these matters, we also may become involved in other litigation, regulatory matters and government actions incidental to our business and the matters disclosed in this Annual Report on Form 10-K, including, but not limited to, product liability claims, regulatory actions, including relating to customs and duties matters, employment matters and commercial disputes. Moreover, litigation or defending against governmental actions can be time-consuming, expensive and disruptive to normal business operations, and the outcome of litigation or governmental actions is difficult to predict. The defense of these or other lawsuits or government actions may result in significant expenditures and the continued diversion of our management’s time and attention from the operation of our business, which could impede our business. In addition, all or a portion of any amount we may be required to pay to satisfy a judgment or settlement of any or all of these claims may not be covered by insurance.</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we believe that we have, based on the audit committee’s independent review, made appropriate judgments and disclosures with respect to our financial statements and this Annual Report on Form 10-K, the SEC may disagree with the manner in which we reported the results of the independent review or accounted for and reported, or did not report, the corresponding financial impact. Accordingly, it is possible that we could be required to restate our financial statements, amend prior filings with the SEC or take other actions not currently contemplated.</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distributors could fail to comply with applicable legal requirements or our distributor policies and procedures, which could result in claims against us that could harm our business.</w:t>
      </w:r>
    </w:p>
    <w:p>
      <w:pPr>
        <w:spacing w:after="0" w:line="5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distributor policies and procedures, participate in our marketing strategies or plans, or accept our introduction of new products.</w:t>
      </w:r>
    </w:p>
    <w:p>
      <w:pPr>
        <w:spacing w:after="0" w:line="6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Extensive federal, state, local and international laws regulate our business, products and direct selling activities. Because we have expanded into foreign countries, our policies and procedures for our independent distributors differ slightly in some countries due to the different legal requirements of each country in which we do business. In addition, as we have expanded internationally, some of our distributors carried or shipped our products into countries in which such products are not registered or that otherwise impose stringent restrictions on our direct selling model. We believe these activities by our independent distributors existed on a small scale prior to fiscal 2016 and expanded significantly in fiscal 2016. Some of these activities may not be deemed to be fully compliant with all regulatory requirements and the Company could be subject to related fines, penalties and other assessments. While we have taken steps to stop or restrict these sales from occurring in future periods, including through our distributor policies and procedures, it can be difficult to enforce these policies and procedures because of the large number of distributors and their independent status. Activities by our independent distributors that violate applicable laws or regulations could result in government or third party actions against us, which could harm our business. In addition, violations by our independent distributors of our policies and procedures could reflect negatively on our products and operations and harm our business reputation. In addition, it is possible that a court could hold us civilly or criminally accountable based on vicarious liability because of the actions of our independent distributors. In the past, we have had independent distributors investigated by government agencies for conduct violating the law and our policies. This type of investigation can have an adverse effect on us even if we are not involved in the independent distributor's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stock price may be adversely affected if our internal control over financial reporting is not effective.</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w:t>
      </w:r>
    </w:p>
    <w:p>
      <w:pPr>
        <w:sectPr>
          <w:pgSz w:w="11900" w:h="16838" w:orient="portrait"/>
          <w:cols w:equalWidth="0" w:num="1">
            <w:col w:w="11400"/>
          </w:cols>
          <w:pgMar w:left="240" w:top="580" w:right="259" w:bottom="1440" w:gutter="0" w:footer="0" w:header="0"/>
        </w:sectPr>
      </w:pPr>
    </w:p>
    <w:bookmarkStart w:id="18" w:name="page19"/>
    <w:bookmarkEnd w:id="18"/>
    <w:p>
      <w:pPr>
        <w:ind w:right="20"/>
        <w:spacing w:after="0" w:line="256" w:lineRule="auto"/>
        <w:rPr>
          <w:sz w:val="20"/>
          <w:szCs w:val="20"/>
          <w:color w:val="auto"/>
        </w:rPr>
      </w:pPr>
      <w:r>
        <w:rPr>
          <w:rFonts w:ascii="Times New Roman" w:cs="Times New Roman" w:eastAsia="Times New Roman" w:hAnsi="Times New Roman"/>
          <w:sz w:val="18"/>
          <w:szCs w:val="18"/>
          <w:color w:val="auto"/>
        </w:rPr>
        <w:t>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description of the material weakness related to these sales is set forth in Part II, Item 9A “Controls and Procedures.”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have adopted, or are in the process of adopting, various measures that are designed to remediate the material weakness in our internal control over financial reporting. We are developing and implementing new control policies and procedures regarding the international business policies, practices, monitoring and training for each country outside the U.S. in which we do business. These remedial measures are subject to ongoing review by our management, including our Chief Executive Officer and Chief Financial Officer, as well as oversight by our audit committee. Although we plan to complete this remediation process as quickly as possible, the material weakness will not be considered remediated until the applicable remedial controls operate for a sufficient period of time and management has concluded, through testing, that these controls are operating effectively. As a result, we cannot, at this time, estimate when such remediation will be completed. We also cannot assure you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manage our financial reporting and internal control systems and processes, our ability to manage and grow our business may be harmed.</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and comply with regulations requires an effective planning and management process and there is no assurance that we can effectively implement an effective process. For example, based on the audit committee’s independent review as discussed above, the audit committee determined that we had sold our products to independent distributors who carried or shipped such products into countries outside the U.S. in which such products are not registered or that otherwise impose stringent restrictions on our direct selling model and that we had allowed individuals who were resident in countries that impose stringent restrictions on our direct selling model to enroll as our independent distributors. As a result, the audit committee and our management concluded that we did not have adequate internal controls and processes in place regarding our international business policies, practices, monitoring and training. We expect that we will need to improve existing operational and financial systems, procedures and controls, and implement new ones, to manage our future business effectively. Any implementation delays, or disruption in the transition to new or enhanced systems, procedures or controls, could harm our ability to forecast sales, manage our supply chain, and record and report financial and management information on a timely and accurate basis.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properly motivate and manage our independent distributors could harm our business.</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Motivating our independent distributors and providing them with appropriate resources, including technology, tools and training, are important to the growth and success of our business. From time to time, we face challenges in motivating and managing our independent distributors. For example, as discussed above, some of our independent distributors have carried or shipped our products into countries outside the U.S. in which such products are not registered or that otherwise impose stringent restrictions on our direct selling model. We have taken steps to stop or restrict these sales from occurring in future periods, which may cause discord among some of our independent distributors. The loss of key distributors due to various factors including, but not limited to, voluntary termination or involuntary termination or suspension resulting from non-compliance with our policies and procedures, could distract our distributors and disrupt our business. For example, approximately 18% and 22% of our revenue for fiscal year 2016 and fiscal year 2015, respectively, was generated in Japan. During the past few years, we have experienced discord among our leading independent distributors in Japan and some of these distributors have left our company to join a competing direct selling company. If we fail to properly manage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distributors. Such legal proceedings can be a distraction to our active independent distributors and can be expensive, time-consuming and cause a disruption to our business. Our inability to properly manage these and other distractions may have a negative impact on our business.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w:t>
      </w:r>
    </w:p>
    <w:p>
      <w:pPr>
        <w:sectPr>
          <w:pgSz w:w="11900" w:h="16838" w:orient="portrait"/>
          <w:cols w:equalWidth="0" w:num="1">
            <w:col w:w="11400"/>
          </w:cols>
          <w:pgMar w:left="240" w:top="580"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expanding our operations.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not be successful in expanding our operations. Although we began to sell our products through our direct selling network in fiscal year 2009, we still have limited experience in selling our products through direct selling compared to other companies in our industry. As such, we may have limited insight into trends, disruptions and other factors that may emerge and affect our business. For example, from time to time, we are obliged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slow our growth. Additionally, we may not be successful in keeping our leading independent distributors focused and motivated or in aligning their goals with the goals of our company. We also have limited experience expanding into new geographic markets. This limited experience was a contributing factor to the conduct that led to the independent review conducted by our audit committee as discussed above and elsewhere in this Annual Report on Form 10-K. Although we are seeking to continue our expansion, if we fail to effectively expand our operations into additional markets, we may be unable to generate consistent operating profit growth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able to expand our operations, we may be unable to successfully manage our future growth.</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business has grown significantly since we initiated our direct selling model in fiscal 2009. This growth placed substantial strain on our management, operational, financial and other resources. If we are able to continue expanding our operations in the United States and in other countries where we believe our products will be successful, such expansion could place increased strain on our management, operational, financial and other resources. In addition, an inability to leverage our current resources in an efficient manner could have a material adverse effect on our business, operating margins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in growing existing markets or opening new markets.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international operations in Japan, Hong Kong, Canada, Australia, Philippines, Mexico, Thailand, the United Kingdom and the Netherlands. In fiscal 2016, we generated approximately 26% of our revenues from our international operations, most of which was generated from Japan. We believe that our ability to achieve future growth is dependent in part on our ability to effectively expand into new international markets. In some of our international markets, we have experienced unexpected difficulties that have resulted in slower than anticipated growth. As discussed above and elsewhere in this Annual Report on Form 10-K, we have recently implemented changes to our systems and distributor enrollment requirements intended to stop or restrict the processes used by independent distributors to purchase and carry or ship our products into countries in which those products are not registered or that otherwise impose stringent restrictions on our direct selling model and to appropriately verify the residency of individuals who want to become our independent distributors. These efforts could adversely affect our growth internationally.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any given country.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Inability of new products and technological innovations to gain distributor or market acceptance could harm our business.</w:t>
      </w:r>
    </w:p>
    <w:p>
      <w:pPr>
        <w:spacing w:after="0" w:line="121"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In fiscal 2016, we introduced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Micro Lift Serum,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smart weight management products and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We believe our ability to introduce new products that gain acceptance among our distributors and customers is an important part of our ability to grow our revenue in future periods. However, any new products we introduce may not gain distributor and market acceptance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revenue. The introduction of a new product could also negatively impact other product lines to the extent our distributor leaders focus their efforts on the new product instead of an existing product. If any of our products fails to gain distributor acceptance, we could see an increase in product returns.</w:t>
      </w:r>
    </w:p>
    <w:p>
      <w:pPr>
        <w:spacing w:after="0" w:line="9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also introduced four new mobile applications in fiscal 2016 for our independent distributors to use to enhance their businesses, including our LV Pro App, LV Share App, Brandr App and LV Move App. We believe our ability to introduce new technologies that gain acceptance among our distributors and customers is an important part of our ability to grow our revenue in future periods. However, new technologies we introduce may not gain distributor acceptance to the extent we anticipate or project.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w:t>
      </w:r>
    </w:p>
    <w:p>
      <w:pPr>
        <w:sectPr>
          <w:pgSz w:w="11900" w:h="16838" w:orient="portrait"/>
          <w:cols w:equalWidth="0" w:num="1">
            <w:col w:w="11420"/>
          </w:cols>
          <w:pgMar w:left="240" w:top="576" w:right="239" w:bottom="1440" w:gutter="0" w:footer="0" w:header="0"/>
        </w:sectPr>
      </w:pPr>
    </w:p>
    <w:bookmarkStart w:id="20" w:name="page21"/>
    <w:bookmarkEnd w:id="2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if we fail to execute our product launch process due to increased pressure on our supply chain, information systems and management.</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our product launch process may vary by market, we generally introduce new products to our independent distributors and preferred customers through live cyber launches, limited-time offers and promotions. The limited-time offers typically generate significant activity and a high level of purchasing, which may result in a higher than normal increase in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preferred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are unable to appropriately manage our inventory.</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past, we have experienced difficulties in appropriately managing our inventory. For example, when we launched our PhysIQ product line in December 2015, we experienced higher than expected demand and did not have sufficient inventory to meet demand. More recently, our inventory balances have increased significantly, growing from $9.2 million at June 30, 2015 to $25.1 million at June 30, 2016.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technology systems to manage numerous aspects of our business, and a disruption in these systems could adversely affect our business.</w:t>
      </w:r>
    </w:p>
    <w:p>
      <w:pPr>
        <w:spacing w:after="0" w:line="5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depend on our information technology, or IT, systems to manage numerous aspects of our business, including our finance and accounting transactions, to manage our independent distributor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other customers.</w:t>
      </w:r>
    </w:p>
    <w:p>
      <w:pPr>
        <w:spacing w:after="0" w:line="7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security risks and the failure to maintain the integrity of data belonging to our company, employees, independent distributors and preferred customers could expose us to data loss, litigation and liability, and our reputation could be significantly harmed.</w:t>
      </w:r>
    </w:p>
    <w:p>
      <w:pPr>
        <w:spacing w:after="0" w:line="51"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collect and retain large volumes of data relating to our business and from our employees, independent distributors and preferred customers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credit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employees, independent distributors or preferred customers, which could harm our reputation, disrupt our operations, or result in remedial and other costs, fines or lawsuits.</w:t>
      </w:r>
    </w:p>
    <w:p>
      <w:pPr>
        <w:spacing w:after="0" w:line="7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51"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entered into a Financing Agreement in March 2016 that provides for a credit facility consisting of a term loan in an aggregate principal amount of $10 million and a revolving loan facility in an aggregate principal amount not to exceed $2 million. At the end of the fiscal year ended June 30, 2016, the principal amount owing under the credit facility was approximately $9.5 million. The principal amount borrowed under the credit facility is repayable in consecutive quarterly installments. We expect to generate the cash necessary to pay the principal and interest on the credit facility from our cash flows provided by operating activities. However, our ability to meet our debt service obligations will depend on our future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w:t>
      </w:r>
    </w:p>
    <w:p>
      <w:pPr>
        <w:sectPr>
          <w:pgSz w:w="11900" w:h="16838" w:orient="portrait"/>
          <w:cols w:equalWidth="0" w:num="1">
            <w:col w:w="11400"/>
          </w:cols>
          <w:pgMar w:left="240" w:top="576" w:right="259" w:bottom="1440" w:gutter="0" w:footer="0" w:header="0"/>
        </w:sectPr>
      </w:pPr>
    </w:p>
    <w:bookmarkStart w:id="21" w:name="page22"/>
    <w:bookmarkEnd w:id="21"/>
    <w:p>
      <w:pPr>
        <w:ind w:right="40"/>
        <w:spacing w:after="0" w:line="258" w:lineRule="auto"/>
        <w:rPr>
          <w:sz w:val="20"/>
          <w:szCs w:val="20"/>
          <w:color w:val="auto"/>
        </w:rPr>
      </w:pPr>
      <w:r>
        <w:rPr>
          <w:rFonts w:ascii="Times New Roman" w:cs="Times New Roman" w:eastAsia="Times New Roman" w:hAnsi="Times New Roman"/>
          <w:sz w:val="18"/>
          <w:szCs w:val="18"/>
          <w:color w:val="auto"/>
        </w:rPr>
        <w:t>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Our ability to meet these financial ratios and tests and informational requirements can be affected by events beyond our control and we may be unable to meet these ratios and tests and informational requirements. For example, in connection with the audit committee independent review, we delayed filing this Annual Report on Form 10-K and providing the lender under the credit facility with audited financial statements for fiscal 2016 as required by the covenants of the credit facility. On October 24, 2016, we were granted a waiver and extension to such covenant if we deliver such audited financial statements prior to December 31, 2016. A breach of any of the covenants, ratios, tests or restrictions imposed by the credit facility would result in an event of default and the lender could declare all amounts outstanding under the credit facility to be immediately due and payable. Our assets may not be sufficient to repay the indebtedness if the lenders accelerate our repayment of the indebtedness under the credit facility.</w:t>
      </w:r>
    </w:p>
    <w:p>
      <w:pPr>
        <w:spacing w:after="0" w:line="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 party importers and similar risks associated with foreign operations.</w:t>
      </w:r>
    </w:p>
    <w:p>
      <w:pPr>
        <w:spacing w:after="0" w:line="5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distributors are generally made in local currencies. Accordingly, strengthening of the U.S. Dollar versus a foreign currency could have a negative impact on us. Specifically, because a significant percentage of our revenues are generated in Japan, strengthening of the U.S. Dollar versus the Japanese yen has had and could continue to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9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could harm our business.</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Global economic conditions continue to be challenging and unpredictable. Consumer confidence and spending have declined in recent years and the global credit crisis has limited access to capital for many companies and consumers. The global economic downturn could adversely impact our business by causing a decline in demand for our products, particularly if the economic conditions are prolonged or worsen. In addition, poor global economic conditions may adversely impact access to capital for us and our suppliers, may decrease our independent distributors’ ability to obtain or maintain credit, and may otherwise adversely impact our operations and overall financial condition.</w:t>
      </w:r>
    </w:p>
    <w:p>
      <w:pPr>
        <w:spacing w:after="0" w:line="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the appropriate level of internal controls, our shareholders could lose confidence in our financial reporting and our stock price could suffer.</w:t>
      </w:r>
    </w:p>
    <w:p>
      <w:pPr>
        <w:spacing w:after="0" w:line="5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have implemented internal controls to help ensure the accuracy of our financial reporting and have implemented internal controls to comply with Section 404 of the Sarbanes-Oxley Act of 2002. We regularly audit our internal controls and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w:t>
      </w:r>
    </w:p>
    <w:p>
      <w:pPr>
        <w:sectPr>
          <w:pgSz w:w="11900" w:h="16838" w:orient="portrait"/>
          <w:cols w:equalWidth="0" w:num="1">
            <w:col w:w="11400"/>
          </w:cols>
          <w:pgMar w:left="240" w:top="580" w:right="259" w:bottom="1440" w:gutter="0" w:footer="0" w:header="0"/>
        </w:sectPr>
      </w:pPr>
    </w:p>
    <w:bookmarkStart w:id="22" w:name="page23"/>
    <w:bookmarkEnd w:id="22"/>
    <w:p>
      <w:pPr>
        <w:ind w:right="80"/>
        <w:spacing w:after="0" w:line="254" w:lineRule="auto"/>
        <w:rPr>
          <w:sz w:val="20"/>
          <w:szCs w:val="20"/>
          <w:color w:val="auto"/>
        </w:rPr>
      </w:pPr>
      <w:r>
        <w:rPr>
          <w:rFonts w:ascii="Times New Roman" w:cs="Times New Roman" w:eastAsia="Times New Roman" w:hAnsi="Times New Roman"/>
          <w:sz w:val="18"/>
          <w:szCs w:val="18"/>
          <w:color w:val="auto"/>
        </w:rPr>
        <w:t>various aspects of our business and we regularly assess the effectiveness of our internal controls. There can be no assurance, however, that these internal or external assessments and audits will identify all significant or material weaknesses in our internal controls. Any failure to correct a weakness in internal controls could result in the disclosure of a material weakness. For example, as discussed above and elsewhere in this Annual Report on Form 10-K, our audit committee determined that we had sold our products to independent distributors who carried or shipped such products into countries in which those products were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a lack of sufficient controls surrounding our international business policies, practices, monitoring and training. While we have adopted, or are in the process of adopting, various measures that are designed to remediate the material weakness, we cannot, at this time, estimate when such remediation will be completed. We also cannot assure you that significant deficiencies or material weaknesses in our internal control over financial reporting will not exist in the future.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to expand our product offerings, we may need to raise additional capital.</w:t>
      </w:r>
    </w:p>
    <w:p>
      <w:pPr>
        <w:spacing w:after="0" w:line="121" w:lineRule="exact"/>
        <w:rPr>
          <w:sz w:val="20"/>
          <w:szCs w:val="20"/>
          <w:color w:val="auto"/>
        </w:rPr>
      </w:pPr>
    </w:p>
    <w:p>
      <w:pPr>
        <w:ind w:right="240" w:firstLine="324"/>
        <w:spacing w:after="0" w:line="233" w:lineRule="auto"/>
        <w:rPr>
          <w:sz w:val="20"/>
          <w:szCs w:val="20"/>
          <w:color w:val="auto"/>
        </w:rPr>
      </w:pPr>
      <w:r>
        <w:rPr>
          <w:rFonts w:ascii="Times New Roman" w:cs="Times New Roman" w:eastAsia="Times New Roman" w:hAnsi="Times New Roman"/>
          <w:sz w:val="18"/>
          <w:szCs w:val="18"/>
          <w:color w:val="auto"/>
        </w:rPr>
        <w:t>Although we introduced additional products in each of fiscal 2015 and 2016, we primarily depend on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for our revenue. We may decide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shareholders. If we are unable to raise additional required capital in a timely manner, we could be forced to reduce our growth plans.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exposed to certain environmental liabilities due to our past operations and property ownership.</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1990s, we owned mining properties in the Yaak River mining district of Montana. We never conducted any mining operations or ore processing on these properties, nor have we performed on-site environmental studies on these properties. The State of Montana Department of Environmental Quality believed that the properties may contain residues from past mining. We may be liable for material environmental liabilities associated with these properties.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until November 2004, we owned land in Lawrence, Colorado. We are not aware of any environmental liabilities with respect to this land. The party that acquired the land from us assumed any environmental liability related to the land. Nonetheless, a governmental agency or a private party could seek to hold us accountable for such environmental liabilities, if 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primarily depend on a few products for our revenue.</w:t>
      </w:r>
    </w:p>
    <w:p>
      <w:pPr>
        <w:spacing w:after="0" w:line="121" w:lineRule="exact"/>
        <w:rPr>
          <w:sz w:val="20"/>
          <w:szCs w:val="20"/>
          <w:color w:val="auto"/>
        </w:rPr>
      </w:pPr>
    </w:p>
    <w:p>
      <w:pPr>
        <w:ind w:right="80" w:firstLine="324"/>
        <w:spacing w:after="0" w:line="216" w:lineRule="auto"/>
        <w:rPr>
          <w:sz w:val="20"/>
          <w:szCs w:val="20"/>
          <w:color w:val="auto"/>
        </w:rPr>
      </w:pPr>
      <w:r>
        <w:rPr>
          <w:rFonts w:ascii="Times New Roman" w:cs="Times New Roman" w:eastAsia="Times New Roman" w:hAnsi="Times New Roman"/>
          <w:sz w:val="18"/>
          <w:szCs w:val="18"/>
          <w:color w:val="auto"/>
        </w:rPr>
        <w:t>Although we generate revenue through the sale of our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we primarily rely on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for our revenue, each of which account for over 10% of our total revenues. We do not currently have a broad portfolio of other products that we could rely on to support our operations if we were to experience any difficulty with the manufacture, marketing, sale or distribution of these product lines. For example, our revenue was adversely impacted because sales of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slowed following our voluntary product recall during fiscal 2013. If we have similar problems in the future, our results could be negatively affected. In addition, we may be unable to sustain or increase the price or sales levels for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which could harm our business.</w:t>
      </w:r>
    </w:p>
    <w:p>
      <w:pPr>
        <w:spacing w:after="0" w:line="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existing independent distributors or attract additional independent distributors, our revenue will not increase and may even decline.</w:t>
      </w:r>
    </w:p>
    <w:p>
      <w:pPr>
        <w:spacing w:after="0" w:line="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independent distributors. The departure for any reason of one of our leading independent distributors can be a major disruption to other independent distributors and can have a significant negative impact on our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productivity of our independent distributors.</w:t>
      </w:r>
    </w:p>
    <w:p>
      <w:pPr>
        <w:spacing w:after="0" w:line="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operating results will be harmed if we and our independent distributor leaders do not generate sufficient interest in our business to retain existing independent distributors and attract new independent distributors. The number and productivity of our independent distributors could be harmed by several factors, including:</w:t>
      </w:r>
    </w:p>
    <w:p>
      <w:pPr>
        <w:spacing w:after="0" w:line="6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publicity regarding us, our products, our distribution channel,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distributors with applicable legal requirements or our policies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interest in existing or new products or their failure to achieve desired results;</w:t>
      </w:r>
    </w:p>
    <w:p>
      <w:pPr>
        <w:spacing w:after="0" w:line="360"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80" w:right="259" w:bottom="1440" w:gutter="0" w:footer="0" w:header="0"/>
        </w:sectPr>
      </w:pPr>
    </w:p>
    <w:bookmarkStart w:id="23" w:name="page24"/>
    <w:bookmarkEnd w:id="23"/>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compelling business opportunity sufficient to generate the interest and commitment of new independent distributors;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we might make to our independent distributor compensation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 perception of our company or our products or their ingredients;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 perception of our independent distributors and direct selling business in general;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actions to enforce our policies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efforts to sell our products through competitive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actions or charges against us or others in our industry;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quality materials for our products may be difficult to obtain or expensive.</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7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our independent distributors are independent contractors, improper distributor actions that violate laws or regulations could harm our business.</w:t>
      </w:r>
    </w:p>
    <w:p>
      <w:pPr>
        <w:spacing w:after="0" w:line="5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independent distributors are not employees and act independent of us. However, activities by our independent distributors that violate applicable laws or regulations could result in government or third-party actions against us, which could harm our business. Our independent distributors agree to abide by our strict policies and procedures designed to ensure our independent distributors will comply with legal requirements. We have a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One of our most significant areas of risk with respect to independent distributor activities relates to improper product claims and claims regarding the business opportunity of being an independent distributor. Any determination by the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 could detrimentally affect our efforts to recruit or motivate independent distributors and attract customers or lead to consumer lawsuits against us. As we experience growth in the number of our independent distributors, we have seen an increase in sales aids and promotional material being produced by distributors and distributor groups in some markets. This places an increased burden on us to monitor compliance of such materials and increases the risk that such materials could contain problematic product or marketing claims in violation of our policies and applicable regulations. As we expand internationally, our distributors sometimes attempt to anticipate additional new markets that we may enter in the future and begin marketing and sponsoring activities in markets where we are not qualified to conduct business. For example, as discussed above, some of our independent distributors have carried or shipped our products into countries in which such products are not registered or that otherwise impose stringent restrictions on our direct selling model. These activities could subject us to legal or regulatory claims or actions, which could result in fines, penalties or negative publicity, any of which could have an adverse impact on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third parties to manufacture our products.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currently rely on third parties to manufacture the products we sell. We are dependent on the uninterrupted and efficient operation of third 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w:t>
      </w:r>
    </w:p>
    <w:p>
      <w:pPr>
        <w:sectPr>
          <w:pgSz w:w="11900" w:h="16838" w:orient="portrait"/>
          <w:cols w:equalWidth="0" w:num="1">
            <w:col w:w="11400"/>
          </w:cols>
          <w:pgMar w:left="240" w:top="580"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to transportation channels used to distribute our products may adversely affect our margins and profitability.</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increased airport and shipping port congestion, a lack of transportation capacity, increased fuel expenses, and a shortage of manpower. Disruptions to the transportation channels experienced by our third party logistics companies may result in increased costs, including the additional use of airfreight to meet demand.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product recalls.</w:t>
      </w:r>
    </w:p>
    <w:p>
      <w:pPr>
        <w:spacing w:after="0" w:line="121"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7"/>
          <w:szCs w:val="17"/>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December 2012, we commenced a voluntary recall of certain lots of Protandim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Nrf2 Synergizer to alleviate concerns that some tablets may have included small metal fragments. We discovered these small metal fragments in certain batches of turmeric extract, an ingredient in Protandim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Nrf2 Synergizer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92" w:lineRule="exact"/>
        <w:rPr>
          <w:sz w:val="20"/>
          <w:szCs w:val="20"/>
          <w:color w:val="auto"/>
        </w:rPr>
      </w:pPr>
    </w:p>
    <w:p>
      <w:pPr>
        <w:ind w:right="660" w:firstLine="324"/>
        <w:spacing w:after="0" w:line="261" w:lineRule="auto"/>
        <w:rPr>
          <w:sz w:val="20"/>
          <w:szCs w:val="20"/>
          <w:color w:val="auto"/>
        </w:rPr>
      </w:pPr>
      <w:r>
        <w:rPr>
          <w:rFonts w:ascii="Times New Roman" w:cs="Times New Roman" w:eastAsia="Times New Roman" w:hAnsi="Times New Roman"/>
          <w:sz w:val="18"/>
          <w:szCs w:val="18"/>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these additional measures may increase our cost of goods sold and further strain our relationships with manufacturers.</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 independent distributors and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publicity could materially harm our business.</w:t>
      </w:r>
    </w:p>
    <w:p>
      <w:pPr>
        <w:spacing w:after="0" w:line="12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7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- 25-</w:t>
      </w:r>
    </w:p>
    <w:p>
      <w:pPr>
        <w:sectPr>
          <w:pgSz w:w="11900" w:h="16838" w:orient="portrait"/>
          <w:cols w:equalWidth="0" w:num="1">
            <w:col w:w="11400"/>
          </w:cols>
          <w:pgMar w:left="240" w:top="576" w:right="259" w:bottom="1440" w:gutter="0" w:footer="0" w:header="0"/>
        </w:sectPr>
      </w:pPr>
    </w:p>
    <w:bookmarkStart w:id="25" w:name="page26"/>
    <w:bookmarkEnd w:id="25"/>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5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proceedings that are expensive, time consuming and, if adversely adjudicated or settled, could adversely affect our financial results.</w:t>
      </w:r>
    </w:p>
    <w:p>
      <w:pPr>
        <w:spacing w:after="0" w:line="51"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6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currently involved in various lawsuits,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strict government regulations.</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the United States Department of Agriculture, and the Environmental Protection Agency.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or require the reformulation, of our products, which could result in lost revenues, increased costs and delay our expansion into new international markets.</w:t>
      </w:r>
    </w:p>
    <w:p>
      <w:pPr>
        <w:spacing w:after="0" w:line="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FDA may determine that a particular dietary supplement or ingredient is adulterated or misbranded or both, and may determine that a particular claim or statement of nutritional value that we make to support the marketing of a dietary supplement is an impermissible drug claim, is not substantiated, or is an unauthorized version of a “health claim.” Determining whether a claim is improper frequently involves a degree of subjectivity by the regulatory agency or individual regulator. Any of these determinations by the FDA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revenues from any product that we are required to remove from the market, which could be material. Any product recalls or removals could also lead to liability, substantial costs, and reduced growth prospects.</w:t>
      </w:r>
    </w:p>
    <w:p>
      <w:pPr>
        <w:spacing w:after="0" w:line="8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 In the United States, for example, some legislators and industry critics continue to push for increased regulatory authority by the FDA over dietary supplements. Our business could be harmed if more restrictive legislation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distributors fail to comply with these Guides, the FTC could bring an enforcement action against us and we could be fined and/or forced to alter our marketing materials.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w:t>
      </w:r>
    </w:p>
    <w:p>
      <w:pPr>
        <w:sectPr>
          <w:pgSz w:w="11900" w:h="16838" w:orient="portrait"/>
          <w:cols w:equalWidth="0" w:num="1">
            <w:col w:w="11420"/>
          </w:cols>
          <w:pgMar w:left="240" w:top="576" w:right="239" w:bottom="1440" w:gutter="0" w:footer="0" w:header="0"/>
        </w:sectPr>
      </w:pPr>
    </w:p>
    <w:bookmarkStart w:id="26" w:name="page27"/>
    <w:bookmarkEnd w:id="26"/>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the Dietary Supplement and Nonprescription Drug Consumer Protection Act imposes significant regulatory requirements on dietary supplements,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7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2011, the FDA published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The FDA is expected to release an updated draft NDI guidance in 2016.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8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May 2016, the FDA released a final rule updating the Nutrition Facts label for packaged foods and the Supplement Facts label for dietary supplements, with the objective to help consumers make better informed deecisions. Manufacturers of food and dietary supplements will need to use the new label by July 26, 2018. Change and implementation of the new label may result in additional costs to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the production and marketing of our line of skin care products could harm our business.</w:t>
      </w:r>
    </w:p>
    <w:p>
      <w:pPr>
        <w:spacing w:after="0" w:line="121" w:lineRule="exact"/>
        <w:rPr>
          <w:sz w:val="20"/>
          <w:szCs w:val="20"/>
          <w:color w:val="auto"/>
        </w:rPr>
      </w:pPr>
    </w:p>
    <w:p>
      <w:pPr>
        <w:ind w:right="40" w:firstLine="324"/>
        <w:spacing w:after="0" w:line="232" w:lineRule="auto"/>
        <w:rPr>
          <w:sz w:val="20"/>
          <w:szCs w:val="20"/>
          <w:color w:val="auto"/>
        </w:rPr>
      </w:pPr>
      <w:r>
        <w:rPr>
          <w:rFonts w:ascii="Times New Roman" w:cs="Times New Roman" w:eastAsia="Times New Roman" w:hAnsi="Times New Roman"/>
          <w:sz w:val="18"/>
          <w:szCs w:val="18"/>
          <w:color w:val="auto"/>
        </w:rPr>
        <w:t>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line of anti-aging skin care products, is subject to various domestic and foreign laws and regulations that regulate cosmetic products and set forth regulations for determining whether a product can be marketed as a “cosmetic” or requires further approval as a drug. A determination that our skin care products impact the structure or function of the human body, including due to improper marketing claims by our independent distributors may lead to a determination that the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products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skin care products and/or be required to adjust our operations. Our operations also could be harmed if new laws or regulations are enacted that restrict our ability to market or distribute our skin care products or impose additional burdens or requirements on the contents of our personal care products or require us to reformulate our products.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investigatory and enforcement action by the FTC.</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risk of investigatory and enforcement action by the FTC based on our advertising claims and marketing practices. The FTC routinely reviews product advertising, including websites, to identify significant questionable advertising claims and practices. The FTC has brought many actions against dietary supplement companies based upon allegations that applicable advertising claims or practices were deceptive or not substantiated. If the FTC initiates an investigation, the FTC can initiate pre-complaint discovery that may be nonpublic in nature. Any investigation may be very expensive to defend and may result in an adverse ruling or in a consent decree.</w:t>
      </w:r>
    </w:p>
    <w:p>
      <w:pPr>
        <w:spacing w:after="0" w:line="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w:t>
      </w:r>
    </w:p>
    <w:p>
      <w:pPr>
        <w:sectPr>
          <w:pgSz w:w="11900" w:h="16838" w:orient="portrait"/>
          <w:cols w:equalWidth="0" w:num="1">
            <w:col w:w="11420"/>
          </w:cols>
          <w:pgMar w:left="240" w:top="580" w:right="23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Non-compliance with anti-corruption laws could harm our business.</w:t>
      </w:r>
    </w:p>
    <w:p>
      <w:pPr>
        <w:spacing w:after="0" w:line="12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build and integrate our new management team, our business could be harmed.</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Since February 2015, our executive management team has undergone significant change, including the termination or resignation from employment of each of our former President and Chief Executive Officer, Chief Financial Officer, Chief Sales Officer, Chief Science Officer and General Counsel. In addition, in May 2015, Darren Jensen joined our company as our new President and Chief Executive Officer; in July 2015, Justin Rose was appointed as our Chief Sales Officer; in August 2015, Mark Jaggi became our Chief Financial Officer and in November 2015, Ryan Goodwin was appointed as our Chief Marketing Officer.</w:t>
      </w:r>
    </w:p>
    <w:p>
      <w:pPr>
        <w:spacing w:after="0" w:line="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largely on the development and execution of our business strategy by our senior management team. Each of our President and Chief Executive Officer, Chief Sales Officer, Chief Financial Officer and Chief Marketing Officer is relatively new to our company and none of them have worked together in the recent past. We believe that the significant turnover in our executive management team as described above may have been a contributing factor to the material weakness in our internal control over financial reporting related to our business policies, practices, monitoring and training governing our international business operations, as disclosed in more detail in Item 9A below and elsewhere in this Annual Report on Form 10-K. We cannot assure you that our new management will succeed in working together as a team, working well with our other existing employees or successfully executing our business strategy in the near-term or at all, which could harm our business and financial prospects. Further, integrating new management into existing operations may be challenging. If we are unable to effectively integrate our new executive management team, our operations and prospects could be harmed.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or inability to attract key personnel could negatively impact our business.</w:t>
      </w:r>
    </w:p>
    <w:p>
      <w:pPr>
        <w:spacing w:after="0" w:line="12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future performance will depend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5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held responsible for certain taxes or assessments relating to the activities of our independent distributors, which could harm our financial condition and operating results.</w:t>
      </w:r>
    </w:p>
    <w:p>
      <w:pPr>
        <w:spacing w:after="0" w:line="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distributors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distributors as employees, or that our distributors are deemed by local regulatory authorities in one or more of the jurisdictions in which we operate to be our employees rather than independent contractors under existing laws and interpretations, or our 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would also face the threat of increased vicarious liability for their actions.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dietary supplement market is highly competitive.</w:t>
      </w:r>
    </w:p>
    <w:p>
      <w:pPr>
        <w:spacing w:after="0" w:line="121" w:lineRule="exact"/>
        <w:rPr>
          <w:sz w:val="20"/>
          <w:szCs w:val="20"/>
          <w:color w:val="auto"/>
        </w:rPr>
      </w:pPr>
    </w:p>
    <w:p>
      <w:pPr>
        <w:ind w:right="260" w:firstLine="324"/>
        <w:spacing w:after="0" w:line="228" w:lineRule="auto"/>
        <w:rPr>
          <w:sz w:val="20"/>
          <w:szCs w:val="20"/>
          <w:color w:val="auto"/>
        </w:rPr>
      </w:pPr>
      <w:r>
        <w:rPr>
          <w:rFonts w:ascii="Times New Roman" w:cs="Times New Roman" w:eastAsia="Times New Roman" w:hAnsi="Times New Roman"/>
          <w:sz w:val="18"/>
          <w:szCs w:val="18"/>
          <w:color w:val="auto"/>
        </w:rPr>
        <w:t>Our flagship product line,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w:t>
      </w:r>
    </w:p>
    <w:p>
      <w:pPr>
        <w:sectPr>
          <w:pgSz w:w="11900" w:h="16838" w:orient="portrait"/>
          <w:cols w:equalWidth="0" w:num="1">
            <w:col w:w="11420"/>
          </w:cols>
          <w:pgMar w:left="240" w:top="580" w:right="239" w:bottom="1440" w:gutter="0" w:footer="0" w:header="0"/>
        </w:sectPr>
      </w:pPr>
    </w:p>
    <w:bookmarkStart w:id="28" w:name="page29"/>
    <w:bookmarkEnd w:id="28"/>
    <w:p>
      <w:pPr>
        <w:spacing w:after="0" w:line="236" w:lineRule="auto"/>
        <w:rPr>
          <w:sz w:val="20"/>
          <w:szCs w:val="20"/>
          <w:color w:val="auto"/>
        </w:rPr>
      </w:pPr>
      <w:r>
        <w:rPr>
          <w:rFonts w:ascii="Times New Roman" w:cs="Times New Roman" w:eastAsia="Times New Roman" w:hAnsi="Times New Roman"/>
          <w:sz w:val="18"/>
          <w:szCs w:val="18"/>
          <w:color w:val="auto"/>
        </w:rPr>
        <w:t>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and be marketed as NRF1 and Nrf2 activators. One or more of these products could significantly reduce the demand for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could reduce the value of our products and brand.</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7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might claim that we infringe on their intellectual property rights.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susceptible to product liability claims.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revenues and operating income. Although we maintain insurance coverage, there is a risk that our insurance will not cover our potential exposure completely or would fail to cover a particular claim, in</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w:t>
      </w:r>
    </w:p>
    <w:p>
      <w:pPr>
        <w:sectPr>
          <w:pgSz w:w="11900" w:h="16838" w:orient="portrait"/>
          <w:cols w:equalWidth="0" w:num="1">
            <w:col w:w="11400"/>
          </w:cols>
          <w:pgMar w:left="240" w:top="580" w:right="259" w:bottom="1440" w:gutter="0" w:footer="0" w:header="0"/>
        </w:sectPr>
      </w:pPr>
    </w:p>
    <w:bookmarkStart w:id="29" w:name="page30"/>
    <w:bookmarkEnd w:id="29"/>
    <w:p>
      <w:pPr>
        <w:ind w:right="60"/>
        <w:spacing w:after="0" w:line="282" w:lineRule="auto"/>
        <w:rPr>
          <w:sz w:val="20"/>
          <w:szCs w:val="20"/>
          <w:color w:val="auto"/>
        </w:rPr>
      </w:pPr>
      <w:r>
        <w:rPr>
          <w:rFonts w:ascii="Times New Roman" w:cs="Times New Roman" w:eastAsia="Times New Roman" w:hAnsi="Times New Roman"/>
          <w:sz w:val="18"/>
          <w:szCs w:val="18"/>
          <w:color w:val="auto"/>
        </w:rPr>
        <w:t>which case we may not have the financial resources to satisfy such claim. In addition, certain types of damages, such as punitive damages, are not covered by our insurance 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associated with our international operations could adversely affect our revenues and international growth prospects.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intend to continue to expand our international presence. Our international operations are subject to a number of risks inherent to operating in foreign countries, and any expansion of our international operations will increase the effects of these risks. These risks include, among others:</w:t>
      </w:r>
    </w:p>
    <w:p>
      <w:pPr>
        <w:spacing w:after="0" w:line="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of foreign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restrictive trade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well-established or reliable legal systems in certain areas in which we operate;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 regulation or sudden policy changes by foreign agencies or governments;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increase in, duties, taxes, government royalties, or non-tariff trade barriers;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international accounts receivable and potentially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foreign government may limit our ability to repatriate cash;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in maintaining international marketing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entering international markets with different cultural bases and consumer preferences;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international operations and our growth strategy.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been in compliance with the Nasdaq Stock Market’s requirements for continued listing and as a result our common stock could be delisted from trading on Nasdaq, which would have a material effect on us and our stockholders.</w:t>
      </w:r>
    </w:p>
    <w:p>
      <w:pPr>
        <w:spacing w:after="0" w:line="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been delinquent in the filing of our periodic reports with the SEC, as a result of which we have not been in compliance with the continued listing requirements of the Nasdaq Stock Market and have been subject to having our stock delisted from trading on Nasdaq. We believe that upon the filing with the Securities and Exchange Commission of this Form 10-K, together with the Form 10-Q for our first quarter of fiscal 2017, Nasdaq will consider us to be back in compliance with its continued listing requirements. However, there can be no assurance that Nasdaq will make that determination, in which case our common stock may again be subject to delisting by Nasdaq. If our common stock is delisted, there can be no assurance whether or when it would again be listed for trading on Nasdaq or any other exchange. If our common stock is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7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delayed filing of our periodic reports with the SEC, we are not currently eligible to use a registration statement on Form S-3 to register the offer and sale of securities, which may adversely affect our ability to raise future capital or complete acquisitions.</w:t>
      </w:r>
    </w:p>
    <w:p>
      <w:pPr>
        <w:spacing w:after="0" w:line="5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delayed filing of our periodic reports with the SEC, we will not be eligible to register the offer and sale of our securities using a registration statement on Form S-3 until we have timely filed all periodic reports required under the Securities Exchange Act of 1934 for one year and there can be no assurance that we will be able to timely file such reports in the future. Should we wish to register the offer and sale of our securities to the public, our transaction costs would increase and the amount of time required to complete the transaction could increase, making it more difficult to execute any such transaction successfully and potentially harming our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experience future volatility.</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of shares may impact the market price of our common stock.</w:t>
      </w:r>
    </w:p>
    <w:p>
      <w:pPr>
        <w:spacing w:after="0" w:line="12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If our shareholders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5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shares that may be issued upon the exercise of currently outstanding warrants and options, or upon future vesting of Performance Stock Units, would dilute the voting power of our currently outstanding common stock and could cause our stock price to decline.</w:t>
      </w:r>
    </w:p>
    <w:p>
      <w:pPr>
        <w:spacing w:after="0" w:line="5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June 30, 2016, we had 14.0 million shares of common stock outstanding. As of June 30, 2016, we also had outstanding warrants that are exercisable for an aggregate of 0.1 million shares of common stock and stock options outstanding for an aggregate of 0.4 million shares of common stock. Additionally, the future vesting of Performance Stock Units may further increase our outstanding shares of common stock. The issuance of these shares will dilute the voting power of our currently outstanding common stock and could cause our stock price to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currently anticipate paying any cash dividends in the foreseeable future.</w:t>
      </w:r>
    </w:p>
    <w:p>
      <w:pPr>
        <w:spacing w:after="0" w:line="12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Although during fiscal 2015 we paid an aggregate of $9.9 million to repurchase 1.1 million shares of our common stock, we currently intend to retain our future earnings, if any, to fund the development and growth of our business. Additionally, the Financing Agreement we entered into in March 2016 in connection with our credit facility contains a customary covenant that restricts our ability to pay dividends. As a result, capital appreciation, if any, of our common stock is likely to be your sole source of gain for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14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fiscal year 2014, we moved into our corporate headquarters located at 9785 South Monroe Street, Suite 300, Sandy, Utah 84070. The lease for our corporate headquarters is for a term of ten years commencing on February 10, 2014, with an option for us to terminate the lease in our discretion after seven years. The lease includes approximately 44,353 square feet with options to occupy additional space in the future if needed.</w:t>
      </w:r>
    </w:p>
    <w:p>
      <w:pPr>
        <w:spacing w:after="0" w:line="9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April 2014, we amended the lease for our previous corporate headquarters located at 9815 South Monroe Street in Sandy, Utah, to reduce the size of this location to approximately 8,742 square feet. The lease for the 9815 South Monroe Street property expires in June 2017.</w:t>
      </w:r>
    </w:p>
    <w:p>
      <w:pPr>
        <w:spacing w:after="0" w:line="8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subsidiary, LifeVantage Japan K.K., leases approximately 10,400 square feet of office space in Tokyo, Japan. The term of the lease is for five years expiring on August 1, 2017.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Warehouse Facilities</w:t>
      </w:r>
    </w:p>
    <w:p>
      <w:pPr>
        <w:spacing w:after="0" w:line="14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Since fiscal year 2010, IntegraCore, LLC has provided fulfillment services to us, including services relating to procurement, warehousing, ordering, processing and shipping. We have also entered into arrangements to receive similar services in some of our international markets.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14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contained within this Annual Report on Form 10-K for a discussion of the Company's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w:t>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4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Capital Market ("NASDAQ") under the symbol "LFVN" in September 2012. Our common stock was previously quoted on the OTC Bulletin Board under the symbol “LFVN.” On October 19, 2015 the Company effected a one-for-seven reverse stock split.</w:t>
      </w:r>
    </w:p>
    <w:p>
      <w:pPr>
        <w:spacing w:after="0" w:line="8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fiscal quarters indicated, the reported high and low prices of our common stock, as quoted on NASDAQ or the OTC Bulletin Board, as applicable, adjusted for the effects of the reverse stock split. These prices were reported by an online service, reflect inter-dealer prices, without retail mark-up, mark-down or commission and may not represent actual transactions. Our fiscal year-end is June 30.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4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issued in registered form and the following information is taken from the records of our current transfer agent, Computershare Trust Company, Inc., located in Golden, Colorado. As of June 30, 2016, we had 140 shareholders of record and 14.0 million shares of common stock outstanding. This does not include an unknown number of persons who hold shares in street name through brokers and dealers and who are not listed on our shareholder records.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line graph and table compares the cumulative total shareholder return on our common stock with the cumulative total return of (i) the NASDAQ Composite Index and (ii) a market-weighted index of publicly-traded peer companies (the "Peer Group") for the period from June 30, 2011 through June 30, 2016. The data shown assumes an investment on June 30, 2011 of $100 and reinvestment of all dividends into additional shares of the same class of equity, if applicable, to the stock or index. There is no expectation that the rate of return achieved in the prior 5 years will be achievable in the upcoming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76835</wp:posOffset>
            </wp:positionV>
            <wp:extent cx="5848985" cy="308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w:t>
      </w:r>
    </w:p>
    <w:p>
      <w:pPr>
        <w:sectPr>
          <w:pgSz w:w="11900" w:h="16838" w:orient="portrait"/>
          <w:cols w:equalWidth="0" w:num="1">
            <w:col w:w="11420"/>
          </w:cols>
          <w:pgMar w:left="240" w:top="576" w:right="239" w:bottom="1440" w:gutter="0" w:footer="0" w:header="0"/>
        </w:sectPr>
      </w:pPr>
    </w:p>
    <w:bookmarkStart w:id="32" w:name="page33"/>
    <w:bookmarkEnd w:id="32"/>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8"/>
        </w:trPr>
        <w:tc>
          <w:tcPr>
            <w:tcW w:w="13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Measured Period</w:t>
            </w:r>
          </w:p>
        </w:tc>
        <w:tc>
          <w:tcPr>
            <w:tcW w:w="6400" w:type="dxa"/>
            <w:vAlign w:val="bottom"/>
          </w:tcPr>
          <w:p>
            <w:pPr>
              <w:spacing w:after="0"/>
              <w:rPr>
                <w:sz w:val="17"/>
                <w:szCs w:val="17"/>
                <w:color w:val="auto"/>
              </w:rPr>
            </w:pPr>
          </w:p>
        </w:tc>
        <w:tc>
          <w:tcPr>
            <w:tcW w:w="90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auto"/>
                <w:w w:val="93"/>
              </w:rPr>
              <w:t>LFVN</w:t>
            </w:r>
          </w:p>
        </w:tc>
        <w:tc>
          <w:tcPr>
            <w:tcW w:w="300" w:type="dxa"/>
            <w:vAlign w:val="bottom"/>
          </w:tcPr>
          <w:p>
            <w:pPr>
              <w:spacing w:after="0"/>
              <w:rPr>
                <w:sz w:val="17"/>
                <w:szCs w:val="17"/>
                <w:color w:val="auto"/>
              </w:rPr>
            </w:pPr>
          </w:p>
        </w:tc>
        <w:tc>
          <w:tcPr>
            <w:tcW w:w="10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Composite</w:t>
            </w:r>
          </w:p>
        </w:tc>
        <w:tc>
          <w:tcPr>
            <w:tcW w:w="220" w:type="dxa"/>
            <w:vAlign w:val="bottom"/>
          </w:tcPr>
          <w:p>
            <w:pPr>
              <w:spacing w:after="0"/>
              <w:rPr>
                <w:sz w:val="17"/>
                <w:szCs w:val="17"/>
                <w:color w:val="auto"/>
              </w:rPr>
            </w:pPr>
          </w:p>
        </w:tc>
        <w:tc>
          <w:tcPr>
            <w:tcW w:w="118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Peer Group</w:t>
            </w:r>
          </w:p>
        </w:tc>
      </w:tr>
      <w:tr>
        <w:trPr>
          <w:trHeight w:val="48"/>
        </w:trPr>
        <w:tc>
          <w:tcPr>
            <w:tcW w:w="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6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2011</w:t>
            </w:r>
          </w:p>
        </w:tc>
        <w:tc>
          <w:tcPr>
            <w:tcW w:w="64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2012</w:t>
            </w:r>
          </w:p>
        </w:tc>
        <w:tc>
          <w:tcPr>
            <w:tcW w:w="6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188.57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78.18</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2013</w:t>
            </w:r>
          </w:p>
        </w:tc>
        <w:tc>
          <w:tcPr>
            <w:tcW w:w="64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154.67</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98.01</w:t>
            </w:r>
          </w:p>
        </w:tc>
      </w:tr>
      <w:tr>
        <w:trPr>
          <w:trHeight w:val="24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2014</w:t>
            </w:r>
          </w:p>
        </w:tc>
        <w:tc>
          <w:tcPr>
            <w:tcW w:w="6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101.43</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64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35.33</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74.54</w:t>
            </w:r>
          </w:p>
        </w:tc>
      </w:tr>
      <w:tr>
        <w:trPr>
          <w:trHeight w:val="24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6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129.52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68.29</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have not declared any dividends on any class of our equity securities since incorporation, and we do not currently anticipate declaring any dividends. Additionally, the Financing Agreement we entered into in March 2016 contains customary covenants that, among other things, restrict our ability to pay dividends.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purchase any shares of our common stock during the quarter ended June 30, 2016.</w:t>
      </w:r>
    </w:p>
    <w:p>
      <w:pPr>
        <w:spacing w:after="0" w:line="14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2016, we withheld 5,939 shares to satisfy tax withholding obligations in connection with the partial vesting of restricted stock awards.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5,667 shares of our common stock issued during the three months ended June 30, 2016, due to the exercise of warrants.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information is incorporated by reference to Item 12 of this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SELECTED FINANCIAL DATA</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summarizes certain historical financial information at the dates and for the periods indicated prepared in accordance with GAAP. The consolidated statement of operations data for the year ended June 30, 2016 and the consolidated balance sheet data as of June 30, 2016 have been derived from our consolidated financial statements audited by WSRP, LLC, an independent registered public accounting firm, included elsewhere in this annual report on Form 10-K. The consolidated statement of operations data for each of the years ended June 30, 2015 and 2014, and the consolidated balance sheet data as of June 30, 2015, have been derived from our consolidated financial statements audited by EKS&amp;H LLLP, an independent registered public accounting firm, included elsewhere in this Annual Report on Form 10-K. The consolidated statement of operations data for each of the years ended June 30, 2013 and 2012 and the consolidated balance sheet data as of June 30, 2014, 2013 and 2012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 are included elsewhere in this Annual Report on Form 10-K. Our historical results are not necessarily indicative of operating results to be expected in the future.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w:t>
      </w:r>
    </w:p>
    <w:p>
      <w:pPr>
        <w:sectPr>
          <w:pgSz w:w="11900" w:h="16838" w:orient="portrait"/>
          <w:cols w:equalWidth="0" w:num="1">
            <w:col w:w="11420"/>
          </w:cols>
          <w:pgMar w:left="240" w:top="5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206,540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213,968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recall costs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57,955</w:t>
            </w:r>
          </w:p>
        </w:tc>
        <w:tc>
          <w:tcPr>
            <w:tcW w:w="0" w:type="dxa"/>
            <w:vAlign w:val="bottom"/>
          </w:tcPr>
          <w:p>
            <w:pPr>
              <w:spacing w:after="0"/>
              <w:rPr>
                <w:sz w:val="1"/>
                <w:szCs w:val="1"/>
                <w:color w:val="auto"/>
              </w:rPr>
            </w:pPr>
          </w:p>
        </w:tc>
      </w:tr>
      <w:tr>
        <w:trPr>
          <w:trHeight w:val="243"/>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148,427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86,674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12,469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Weighed average shares outstanding:</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14,671</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20,387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of unamortized discount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28,283</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RESULTS OF OPERATIONS</w:t>
      </w:r>
    </w:p>
    <w:p>
      <w:pPr>
        <w:spacing w:after="0" w:line="14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connection with our financial statements and related notes beginning on page F-1 following Part III of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are a company focused on nutrigenomics, the study of how nutrition and naturally occurring compounds affect human genes. We are dedicated to helping people achieve their health, wellness and financial independence goals. We provide quality, scientifically validated products and a financially rewarding direct sales business opportunity to preferred customers, retail customers and independent distributors who seek a healthy lifestyle and financial freedom.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ectPr>
          <w:pgSz w:w="11900" w:h="16838" w:orient="portrait"/>
          <w:cols w:equalWidth="0" w:num="1">
            <w:col w:w="11420"/>
          </w:cols>
          <w:pgMar w:left="240" w:top="738"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- 34-</w:t>
      </w:r>
    </w:p>
    <w:p>
      <w:pPr>
        <w:sectPr>
          <w:pgSz w:w="11900" w:h="16838" w:orient="portrait"/>
          <w:cols w:equalWidth="0" w:num="1">
            <w:col w:w="11420"/>
          </w:cols>
          <w:pgMar w:left="240" w:top="738" w:right="239" w:bottom="1440" w:gutter="0" w:footer="0" w:header="0"/>
          <w:type w:val="continuous"/>
        </w:sectPr>
      </w:pPr>
    </w:p>
    <w:bookmarkStart w:id="34" w:name="page35"/>
    <w:bookmarkEnd w:id="34"/>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scientifically-validated products, including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plan and other sales initiatives; and</w:t>
      </w:r>
    </w:p>
    <w:p>
      <w:pPr>
        <w:spacing w:after="0" w:line="184"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15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begun selling our products in and attracting new independent distributors and preferred customers in several new markets since the beginning of our direct selling activities in 2009, including Japan, Australia, Canada, Mexico, Hong Kong, Thailand, the United Kingdom, the Netherlands and, on a limited basis, the Philippines. Entering a new market requires a considerable amount of time, resources and continued support. If we are unable to properly support an existing or new market, our revenue growth will be negatively impacted.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8" w:lineRule="exact"/>
        <w:rPr>
          <w:sz w:val="20"/>
          <w:szCs w:val="20"/>
          <w:color w:val="auto"/>
        </w:rPr>
      </w:pPr>
    </w:p>
    <w:p>
      <w:pPr>
        <w:ind w:right="20" w:firstLine="324"/>
        <w:spacing w:after="0" w:line="196" w:lineRule="auto"/>
        <w:rPr>
          <w:sz w:val="20"/>
          <w:szCs w:val="20"/>
          <w:color w:val="auto"/>
        </w:rPr>
      </w:pPr>
      <w:r>
        <w:rPr>
          <w:rFonts w:ascii="Times New Roman" w:cs="Times New Roman" w:eastAsia="Times New Roman" w:hAnsi="Times New Roman"/>
          <w:sz w:val="18"/>
          <w:szCs w:val="18"/>
          <w:color w:val="auto"/>
        </w:rPr>
        <w:t>Our products are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the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regimen,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and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includes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and Nrf2 synergizers.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is formulated to increase cellular energy and performance by boosting mitochondria production to improve cellular repair and slow cellular aging.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regimen includes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Ultra Gentle Facial Cleanser,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Perfecting Lotion,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Eye Corrector Serum,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Micro-Lift Serum and our enhanced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Anti-Aging Cream.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our line of energy drink mixes formulated to promote alertness and support mental performance. Canine Health</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is a supplement specially formulated to combat oxidative stress in dogs through Nrf2 activation.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our newly launched smart weight management system which includes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Fat Burn,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Probio,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Cleanse and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Protein Shake mix, all formulated to aid in weight management. The following table shows revenues by major product line for the years ended June 30, 2016, 2015 and 2014.</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38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product line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128,019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120,967</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142,935</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TrueScience® skin care regimen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206,540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190,336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213,968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60" w:firstLine="324"/>
        <w:spacing w:after="0" w:line="239" w:lineRule="auto"/>
        <w:rPr>
          <w:sz w:val="20"/>
          <w:szCs w:val="20"/>
          <w:color w:val="auto"/>
        </w:rPr>
      </w:pPr>
      <w:r>
        <w:rPr>
          <w:rFonts w:ascii="Times New Roman" w:cs="Times New Roman" w:eastAsia="Times New Roman" w:hAnsi="Times New Roman"/>
          <w:sz w:val="17"/>
          <w:szCs w:val="17"/>
          <w:color w:val="auto"/>
        </w:rPr>
        <w:t>The Company's revenues are largely attributed to two product lines, the Protandim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product line and the LifeVantage TrueScience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skin care regimen, which each accounted for more than 10% of total revenues for each of the years ended June 30, 2016, 2015 and 2014. On a combined basis, these products represent approximately 77.9%, 83.7% and 88.5% of our worldwide net revenues for the years ended June 30, 2016, 2015 and 2014, respectively.</w:t>
      </w:r>
    </w:p>
    <w:p>
      <w:pPr>
        <w:spacing w:after="0" w:line="119" w:lineRule="exact"/>
        <w:rPr>
          <w:sz w:val="20"/>
          <w:szCs w:val="20"/>
          <w:color w:val="auto"/>
        </w:rPr>
      </w:pPr>
    </w:p>
    <w:p>
      <w:pPr>
        <w:ind w:right="100" w:firstLine="324"/>
        <w:spacing w:after="0" w:line="313" w:lineRule="auto"/>
        <w:rPr>
          <w:sz w:val="20"/>
          <w:szCs w:val="20"/>
          <w:color w:val="auto"/>
        </w:rPr>
      </w:pPr>
      <w:r>
        <w:rPr>
          <w:rFonts w:ascii="Times New Roman" w:cs="Times New Roman" w:eastAsia="Times New Roman" w:hAnsi="Times New Roman"/>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preferred customers and retail customers.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products. The number of active independent distributors and preferred customers is, therefore, used by management as a key non-financial measure.</w:t>
      </w:r>
    </w:p>
    <w:p>
      <w:pPr>
        <w:spacing w:after="0" w:line="14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0"/>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Active Preferred Customers By Region</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gridSpan w:val="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As of June 30, 2015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gridSpan w:val="3"/>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12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95,000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94,000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117,000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115,000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0"/>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Active Independent Distributors By Region</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As of June 30, 2015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gridSpan w:val="3"/>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5"/>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49,000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44,000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 &amp; Europe</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69,000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Presentation</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report revenue in two geographic regions and we translate revenue from each market's local currency into U.S. Dollars using weighted-average exchange rates. Revenue consists primarily of product sales, fee revenues,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158,291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48,249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206,540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190,336</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213,968</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Cost of sales primarily consists of costs of products purchased from and manufactured by third-party vendors, costs of adjustments to inventory carrying value, and costs of sales materials which we sell to our sales force, as well as freight, duties and taxes that are associated with the import and export of our products. As our international sales increase as a percentage of total revenue, cost of sales as a percentage of revenue likely will increase as a result of additional duties, freight, and other factors, such as changes in currency exchange rates.</w:t>
      </w:r>
    </w:p>
    <w:p>
      <w:pPr>
        <w:spacing w:after="0" w:line="9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Commissions and incentives expenses are our most significant expenses and are classified as operating expenses. Commissions and incentives expenses include sales commissions paid to our independent distributors, special incentives, costs for incentive trips and other rewards. Commissions and incentives expenses do not include any amounts we pay to our independent distributors for personal purchases. Commissions paid to independent distributors on personal purchases are considered a sales discount and are reported as a reduction to our net revenue. Our global sales compensation plan, which we employ in all our markets, is an important factor in our ability to attract and retain our independent distributors. Under our global sales compensation plan, independent distributors can earn commissions for product sales to their preferred customers as well as the product sales made through the sales networks they have developed and trained. We do not pay commissions on sales materials, which are sold to our independent distributors. Commissions and incentives expenses, as a percentage of revenue, may increase in connection with limited-time offers due to growth in the number of independent distributors qualifying for increased sales compensation and promotional incentives.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w:t>
      </w:r>
    </w:p>
    <w:p>
      <w:pPr>
        <w:sectPr>
          <w:pgSz w:w="11900" w:h="16838" w:orient="portrait"/>
          <w:cols w:equalWidth="0" w:num="1">
            <w:col w:w="11420"/>
          </w:cols>
          <w:pgMar w:left="240" w:top="580" w:right="239" w:bottom="1440" w:gutter="0" w:footer="0" w:header="0"/>
        </w:sectPr>
      </w:pPr>
    </w:p>
    <w:bookmarkStart w:id="36" w:name="page37"/>
    <w:bookmarkEnd w:id="36"/>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wages and benefits, marketing and event costs, professional fees, rents and utilities, depreciation and amortization, research and development, travel costs, and other operating expenses. Wages and benefits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10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fiscal years ended June 30, 2016, 2015, and 2014, we generated net revenues of $206.5 million, $190.3 million and $214.0 million, respectively, recognized operating profit of $13.4 million, $13.9 million and $19.4 million, respectively, and recognized net income of $6.0 million, $7.0 million and $11.4 million, respectively.</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consolidated earnings data as a percentage of net revenue for the years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90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9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49"/>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5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1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5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75.4</w:t>
            </w: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Fiscal Years Ended June 30, 2016 and 2015</w:t>
      </w:r>
    </w:p>
    <w:p>
      <w:pPr>
        <w:spacing w:after="0" w:line="14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net. </w:t>
      </w:r>
      <w:r>
        <w:rPr>
          <w:rFonts w:ascii="Times New Roman" w:cs="Times New Roman" w:eastAsia="Times New Roman" w:hAnsi="Times New Roman"/>
          <w:sz w:val="18"/>
          <w:szCs w:val="18"/>
          <w:color w:val="auto"/>
        </w:rPr>
        <w:t>We generated net revenue of $206.5 million and $190.3 million during the years ended June 30, 2016 and 2015, respectively.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included increases in the Americas region, offset by decreases in the Asia/Pacific &amp; Europe region. Foreign currency fluctuations negatively impacted our net revenue $1.8 million or 1.0%, which is related primarily to our Asia/Pacific &amp; Europe region. The overall increase in sales of $16.2 million in fiscal 2016 was due to increased sales in the Americas region as a result of new product launches and an increase in active distributors during the year. In the years ended June 30, 2016 and 2015, we estimate that approximately $17.3 million and $6.7 million in net revenue, respectively, related to sales of our products to independent distributors who may have carried or shipped such products into countries in which our products are not registered or that otherwise impose stringent restrictions on our direct selling model. Looking forward, we have taken steps to help ensure that our products are not distributed or sold into countries without complying with applicable customs, tax and other regulatory requirements and to appropriately verify the residency of individuals who want to become our independent distributors. Consistent with these regulatory requirements, in the future our independent distributors may be able to purchase a limited quantity of such products for personal consumption in one or more of these countries. Nevertheless, we expect that our revenue in future periods from sales of our products that are carried or shipped into these countries will be significantly lower than fiscal 2016.</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w:t>
      </w:r>
    </w:p>
    <w:p>
      <w:pPr>
        <w:sectPr>
          <w:pgSz w:w="11900" w:h="16838" w:orient="portrait"/>
          <w:cols w:equalWidth="0" w:num="1">
            <w:col w:w="11420"/>
          </w:cols>
          <w:pgMar w:left="240" w:top="580" w:right="2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years ended June 30, 2016 and 2015 for the Americas region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560" w:type="dxa"/>
            <w:vAlign w:val="bottom"/>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152,830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132,831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158,291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360" w:firstLine="324"/>
        <w:spacing w:after="0" w:line="268" w:lineRule="auto"/>
        <w:rPr>
          <w:sz w:val="20"/>
          <w:szCs w:val="20"/>
          <w:color w:val="auto"/>
        </w:rPr>
      </w:pPr>
      <w:r>
        <w:rPr>
          <w:rFonts w:ascii="Times New Roman" w:cs="Times New Roman" w:eastAsia="Times New Roman" w:hAnsi="Times New Roman"/>
          <w:sz w:val="18"/>
          <w:szCs w:val="18"/>
          <w:color w:val="auto"/>
        </w:rPr>
        <w:t>Revenue in the Americas region for the year ended June 30, 2016 increased $20.2 million or 14.6%. The increase in revenue during the year ended June 30, 2016 is due to an increase in the number of active distributors of 11.4% and higher volume of product sales related to the launch of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line of products and the introduction of our new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w:t>
      </w:r>
    </w:p>
    <w:p>
      <w:pPr>
        <w:ind w:right="2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years ended June 30, 2016 and 2015 for the Asia/Pacific &amp; Europe region and its principal markets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600" w:type="dxa"/>
            <w:vAlign w:val="bottom"/>
          </w:tcPr>
          <w:p>
            <w:pPr>
              <w:spacing w:after="0"/>
              <w:rPr>
                <w:sz w:val="16"/>
                <w:szCs w:val="16"/>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57"/>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48,249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52,218</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Revenue in the region for the year ended June 30, 2016 was negatively impacted approximately $1.1 million, or 2.1%, by foreign currency exchange rate fluctuations.</w:t>
      </w:r>
    </w:p>
    <w:p>
      <w:pPr>
        <w:spacing w:after="0" w:line="8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Local currency revenue in Japan decreased 10.3% in fiscal 2016 compared to fiscal 2015. During the year ended June 30, 2016 the Japanese yen, on average, weakened against the U.S. Dollar, negatively impacting our revenue in this market by $0.7 million or 1.8%. In addition to the negative impact of foreign currency fluctuations, product sales volume decreased in Japan, Australia and the Philippines. The negative impact of foreign currency rate fluctuations and the decrease in product sales was partially offset by an increase in volume of product sales in Hong Kong and Thailand, as well as increases associated with the launch of the United Kingdom and Netherlands during the year.</w:t>
      </w:r>
    </w:p>
    <w:p>
      <w:pPr>
        <w:spacing w:after="0" w:line="103" w:lineRule="exact"/>
        <w:rPr>
          <w:sz w:val="20"/>
          <w:szCs w:val="20"/>
          <w:color w:val="auto"/>
        </w:rPr>
      </w:pPr>
    </w:p>
    <w:p>
      <w:pPr>
        <w:ind w:right="120" w:firstLine="324"/>
        <w:spacing w:after="0" w:line="238" w:lineRule="auto"/>
        <w:rPr>
          <w:sz w:val="20"/>
          <w:szCs w:val="20"/>
          <w:color w:val="auto"/>
        </w:rPr>
      </w:pPr>
      <w:r>
        <w:rPr>
          <w:rFonts w:ascii="Times New Roman" w:cs="Times New Roman" w:eastAsia="Times New Roman" w:hAnsi="Times New Roman"/>
          <w:sz w:val="18"/>
          <w:szCs w:val="18"/>
          <w:color w:val="auto"/>
        </w:rPr>
        <w:t>Our sales and marketing efforts continue to be directed toward building our worldwide sales. We expect increased revenue in the Americas region as we continue to focus on our growth initiatives, specifically the development and expansion of new distributor tools, training and technology and the continued scientific research of new products, including our recently launched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We expect revenue in the Asia/Pacific and Europe region to increase moderately as we focus on strengthening our sales and marketing efforts, including the global expansion of our products, the creation of country-specific marketing tools and materials and expanding our geographic reach and ensuring that our products are not distributed or sold into countries without complying with applicable customs, tax and other regulatory requirements.</w:t>
      </w:r>
    </w:p>
    <w:p>
      <w:pPr>
        <w:spacing w:after="0" w:line="11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Cost of sales were $33.9 million for the year ended June 30, 2016, and $28.0 million for the year ended June 30, 2015, resulting in a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of $172.6 million, or 83.6%, and $162.3 million, or 85.3%, respectively. The decrease in gross margin as a percent of revenues in fiscal 2016 relative to fiscal 2015 was primarily due to product recall related insurance benefits received during fiscal 2015 of $2.0 million, changes to our product sales mix and increased costs associated with the shipment, storage, and quality testing of inventory. We expect the gross margin percentage to be in the 83-85% range for the foreseeable future based on our expected inventory, manufacturing costs and product sales mix. Economic conditions and changes in the supply of raw materials, new products with differing raw material cost basis, and additional manufacturing process costs could negatively impact our gross margins in the future.</w:t>
      </w:r>
    </w:p>
    <w:p>
      <w:pPr>
        <w:spacing w:after="0" w:line="102" w:lineRule="exact"/>
        <w:rPr>
          <w:sz w:val="20"/>
          <w:szCs w:val="20"/>
          <w:color w:val="auto"/>
        </w:rPr>
      </w:pPr>
    </w:p>
    <w:p>
      <w:pPr>
        <w:ind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Total operating expenses for the year ended June 30, 2016 were $159.2 million as compared to operating expenses of $148.4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June 30, 2015. Operating expenses consist of commissions and incentives expenses and selling, general and administrative expenses. Operating expenses as a percentage of revenue decreased slightly to 77.0% for the year ended June 30, 2016 from 77.9% for the year ended June 30, 2015.</w:t>
      </w:r>
    </w:p>
    <w:p>
      <w:pPr>
        <w:spacing w:after="0" w:line="75"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for the fiscal year ended June 30, 2016 were $103.1 million or 49.9%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$91.1 million or 47.8% of revenue for the fiscal year ended June 30, 2015. The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w:t>
      </w:r>
    </w:p>
    <w:p>
      <w:pPr>
        <w:sectPr>
          <w:pgSz w:w="11900" w:h="16838" w:orient="portrait"/>
          <w:cols w:equalWidth="0" w:num="1">
            <w:col w:w="11420"/>
          </w:cols>
          <w:pgMar w:left="240" w:top="580" w:right="239" w:bottom="1440" w:gutter="0" w:footer="0" w:header="0"/>
        </w:sectPr>
      </w:pPr>
    </w:p>
    <w:bookmarkStart w:id="38" w:name="page39"/>
    <w:bookmarkEnd w:id="38"/>
    <w:p>
      <w:pPr>
        <w:ind w:right="340"/>
        <w:spacing w:after="0" w:line="258" w:lineRule="auto"/>
        <w:rPr>
          <w:sz w:val="20"/>
          <w:szCs w:val="20"/>
          <w:color w:val="auto"/>
        </w:rPr>
      </w:pPr>
      <w:r>
        <w:rPr>
          <w:rFonts w:ascii="Times New Roman" w:cs="Times New Roman" w:eastAsia="Times New Roman" w:hAnsi="Times New Roman"/>
          <w:sz w:val="18"/>
          <w:szCs w:val="18"/>
          <w:color w:val="auto"/>
        </w:rPr>
        <w:t>increase in expense of $12.0 million in fiscal year 2016 was due primarily to the overall increase in sales. As a percentage of revenue, commissions and incentives expenses increased by 2.1% in fiscal year 2016. The increase is due to increased incentives and promotional expenses incurred as we instituted several new programs during the year to drive sales growth, enhance international market expansion and attract new leaders. We expect commissions and incentives expenses to remain relatively stable as a percentage of net sales, with some fluctuations caused by changes to compensation and incentive programs and initiatives.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for the year ended June 30, 2016 were $56.1 million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$57.4 million for the fiscal year ended June 30, 2015. The decrease of $1.3 million was primarily due to decreased employment related expenses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contract labor and executive recruiting expenses, as well as decreased event expenses due to fewer events held during fiscal year 2016. These decreases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partially offset due to increases in stock compensation expenses and marketing expenses associated with new promotions and marketing initiatives.</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Primary factors that may cause our operating expenses to fluctuate in the future include changes in the number of employees, foreign exchange rates, and the impact of our variable compensation programs, which are driven by overall sales. A fluctuation in our stock price may also impact our share-based compensation expense recorded for liability classified awards and equity awards made in future years.</w:t>
      </w:r>
    </w:p>
    <w:p>
      <w:pPr>
        <w:spacing w:after="0" w:line="9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expect selling, general and administrative expenses, as a percent of revenue, to remain relatively consistent as we continue to refine our strategic initiatives and coordinate our spending with sales trends and geographic expansion.</w:t>
      </w:r>
    </w:p>
    <w:p>
      <w:pPr>
        <w:spacing w:after="0" w:line="7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We recognized other expense for the year ended June 30, 2016 of $4.7 million as compared to $3.2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2015. Other expense for the year ended June 30, 2016 consisted primarily of interest expense of $3.3 million, which includes the write-off of debt transaction costs pursuant to the debt refinance completed during fiscal 2016, the write-off of previously capitalized software development costs of $1.2 million and the impact of changes in foreign currency exchange rates.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interest expense for the years ended June 30, 2016 and 2015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2013 Term Loan</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1,216</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2,633</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2016 Term Loan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2013 Term Loan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2016 Term Loan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2013 Term Loan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2016 Term Loan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3,321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3,087</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income tax expense for the year ended June 30, 2016 was $2.7 million as compared to income tax expense of $3.7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June 30, 2015. Our provision for income taxes for the year ended June 30, 2016 consisted primarily of federal, state, and foreign tax on anticipated fiscal 2016 income which was partially offset by tax benefits related to research and development credits, a deduction for domestic production activities and benefits related to foreign tax rate differences as the Company established a permanent reinvestment assertion during fiscal 2016. We expect our income tax expense and effective tax rate to increase as our taxable income increases and our effective rate approaches normal statutory rates in future periods.</w:t>
      </w:r>
    </w:p>
    <w:p>
      <w:pPr>
        <w:spacing w:after="0" w:line="102"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As a result of the foregoing factors, net income for the year ended June 30, 2016 decreased to $6.0 million compared to $7.0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June 30, 2015.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Comparison of Fiscal Years Ended June 30, 2015 and 2014</w:t>
      </w:r>
    </w:p>
    <w:p>
      <w:pPr>
        <w:spacing w:after="0" w:line="142"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net. </w:t>
      </w:r>
      <w:r>
        <w:rPr>
          <w:rFonts w:ascii="Times New Roman" w:cs="Times New Roman" w:eastAsia="Times New Roman" w:hAnsi="Times New Roman"/>
          <w:sz w:val="18"/>
          <w:szCs w:val="18"/>
          <w:color w:val="auto"/>
        </w:rPr>
        <w:t>We generated net revenue of $190.3 million and $214.0 million during the years ended June 30, 2015 and 2014, respectively. This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both the Americas region and the Asia/Pacific &amp; Europe region. Foreign currency fluctuations negatively impacted our net revenue $6.0 million or 2.8%, which is related primarily to our Asia/Pacific &amp; Europe region. The overall decrease in sales of $23.6 million in fiscal 2015 was primarily due to a decrease of $20.5 million in sales in the Asia/Pacific and Europe region caused by both the negative foreign currency impact on sales and distractions in the distributor force in Japan.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years ended June 30, 2015 and 2014 for the Americas region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380" w:type="dxa"/>
            <w:vAlign w:val="bottom"/>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132,831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136,758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7"/>
        </w:trPr>
        <w:tc>
          <w:tcPr>
            <w:tcW w:w="6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141,227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Revenue in the Americas region for the year ended June 30, 2015 decreased $3.1 million or 2.2% . The decrease in revenue during the year ended June 30, 2015 is due to a decrease in the number of active preferred customers of 12.1% and lower volume of product sales in the region as compared to the prior year same period, offset partially by additional product purchases associated with the launch of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energy drink mixes.</w:t>
      </w:r>
    </w:p>
    <w:p>
      <w:pPr>
        <w:ind w:right="2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years ended June 30, 2015 and 2014 for the Asia/Pacific &amp; Europe region and its principal markets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380" w:type="dxa"/>
            <w:vAlign w:val="bottom"/>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61,872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3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6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57"/>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52,218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72,741</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6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Revenue in the region for the year ended June 30, 2015 was negatively impacted approximately $5.5 million, or 7.6%, by foreign currency exchange rate fluctuations.</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Local currency revenue in Japan decreased 24.4% in fiscal 2015 compared to fiscal 2014. During the year ended June 30, 2015 the Japanese yen weakened against the U.S. Dollar, which negatively impacted our revenue in this market by $5.3 million or 8.6%. In addition to the negative impact of foreign currency rate fluctuations, product sales volume decreased in Japan and Hong Kong. The negative impact of foreign currency rate fluctuations and the decrease in product sales was partially offset by an increase in product sales volume in Australia, the Philippines, and Thailand.</w:t>
      </w:r>
    </w:p>
    <w:p>
      <w:pPr>
        <w:spacing w:after="0" w:line="97"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Cost of sales were $28.0 million for the year ended June 30, 2015, and $33.2 million for the year ended June 30, 2014, resulting in a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of $162.3 million, or 85.3%, and $180.8 million, or 84.5%, respectively. The increase in gross margin as a percentage of revenues was primarily due to cost recoveries from insurance of approximately $2.0 million associated with the 2012 product recall.</w:t>
      </w:r>
    </w:p>
    <w:p>
      <w:pPr>
        <w:spacing w:after="0" w:line="92" w:lineRule="exact"/>
        <w:rPr>
          <w:sz w:val="20"/>
          <w:szCs w:val="20"/>
          <w:color w:val="auto"/>
        </w:rPr>
      </w:pPr>
    </w:p>
    <w:p>
      <w:pPr>
        <w:ind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Total operating expenses for the year ended June 30, 2015 were $148.4 million as compared to operating expenses of $161.3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June 30, 2014. Operating expenses consist of commissions and incentives expenses and selling, general and administrative expenses.</w:t>
      </w:r>
    </w:p>
    <w:p>
      <w:pPr>
        <w:spacing w:after="0" w:line="54" w:lineRule="exact"/>
        <w:rPr>
          <w:sz w:val="20"/>
          <w:szCs w:val="20"/>
          <w:color w:val="auto"/>
        </w:rPr>
      </w:pPr>
    </w:p>
    <w:p>
      <w:pPr>
        <w:jc w:val="both"/>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for the year ended June 30, 2015 were $91.1 million or 47.8% compared to $104.5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48.9% for the fiscal year ended June 30, 2014. The decrease in expense of $13.5 million in fiscal year 2015 was due primarily to decreased sales.</w:t>
      </w:r>
    </w:p>
    <w:p>
      <w:pPr>
        <w:spacing w:after="0" w:line="77"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for the year ended June 30, 2015 were $57.4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$56.8 million for the fiscal year ended June 30, 2014. The increase of $0.6 million was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w:t>
      </w:r>
    </w:p>
    <w:p>
      <w:pPr>
        <w:sectPr>
          <w:pgSz w:w="11900" w:h="16838" w:orient="portrait"/>
          <w:cols w:equalWidth="0" w:num="1">
            <w:col w:w="11420"/>
          </w:cols>
          <w:pgMar w:left="240" w:top="580" w:right="239" w:bottom="1440" w:gutter="0" w:footer="0" w:header="0"/>
        </w:sectPr>
      </w:pPr>
    </w:p>
    <w:bookmarkStart w:id="40" w:name="page41"/>
    <w:bookmarkEnd w:id="40"/>
    <w:p>
      <w:pPr>
        <w:ind w:right="220"/>
        <w:spacing w:after="0" w:line="282" w:lineRule="auto"/>
        <w:rPr>
          <w:sz w:val="20"/>
          <w:szCs w:val="20"/>
          <w:color w:val="auto"/>
        </w:rPr>
      </w:pPr>
      <w:r>
        <w:rPr>
          <w:rFonts w:ascii="Times New Roman" w:cs="Times New Roman" w:eastAsia="Times New Roman" w:hAnsi="Times New Roman"/>
          <w:sz w:val="18"/>
          <w:szCs w:val="18"/>
          <w:color w:val="auto"/>
        </w:rPr>
        <w:t>primarily due to increased wage expenses associated with changes in the executive team and increased research and development costs related to increased spending on product innovation.</w:t>
      </w:r>
    </w:p>
    <w:p>
      <w:pPr>
        <w:spacing w:after="0" w:line="79" w:lineRule="exact"/>
        <w:rPr>
          <w:sz w:val="20"/>
          <w:szCs w:val="20"/>
          <w:color w:val="auto"/>
        </w:rPr>
      </w:pPr>
    </w:p>
    <w:p>
      <w:pPr>
        <w:jc w:val="both"/>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We recognized net other expense for the year ended June 30, 2015 of $3.2 million as compared to $2.8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2014. Other expense for the year ended June 30, 2015 consisted primarily of interest expense of $3.1 million and the impact of changes in foreign currency exchange rates.</w:t>
      </w:r>
    </w:p>
    <w:p>
      <w:pPr>
        <w:spacing w:after="0" w:line="92" w:lineRule="exact"/>
        <w:rPr>
          <w:sz w:val="20"/>
          <w:szCs w:val="20"/>
          <w:color w:val="auto"/>
        </w:rPr>
      </w:pPr>
    </w:p>
    <w:p>
      <w:pPr>
        <w:jc w:val="both"/>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income tax expense for the year ended June 30, 2015 was $3.7 million as compared to income tax expense of $5.3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June 30, 2014. The decrease in tax expense is primarily due to the decrease in income before taxes for the fiscal year ended June 30, 2015 as compared to the fiscal year ended June 30, 2014.</w:t>
      </w:r>
    </w:p>
    <w:p>
      <w:pPr>
        <w:spacing w:after="0" w:line="92"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As a result of the foregoing factors, net income decreased to $7.0 million for the year ended June 30, 2015 compared to $11.4 million in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June 30, 2014.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4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95"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At June 30, 2016, our cash and cash equivalents were $7.9 million. This represented a decrease of $6.0 million from the $13.9 million in cash and cash equivalents as of June 30, 2015. During the fiscal year ended June 30, 2016, our net cash provided by operating activities was $6.0 million as compared to net cash provided by operating activities of $13.2 million during the fiscal year ended June 30, 2015. The decrease in cash provided by operating activities during the fiscal year ended June 30, 2016 is primarily due to increased inventory purchases, partially offset by increases in accounts payable and accrued expenses.</w:t>
      </w:r>
    </w:p>
    <w:p>
      <w:pPr>
        <w:spacing w:after="0" w:line="8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June 30, 2016, our net cash used in investing activities was $0.6 million, primarily due to capital expenditures. During the fiscal year ended June 30, 2015, our net cash used in investing activities was $1.2 million, also primarily due to capital expenditures.</w:t>
      </w:r>
    </w:p>
    <w:p>
      <w:pPr>
        <w:spacing w:after="0" w:line="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during the fiscal year ended June 30, 2016 was $11.7 million, compared to $18.5 million during the fiscal year ended June 30, 2015. Cash used in financing activities during the fiscal year ended June 30, 2016 included total principal payments on the Company's outstanding term debt of $22.1 million, partially offset by proceeds from the March 2016 Term Loan of $10.0 million associated with the refinancing of the October 2013 Term Loan and proceeds from the exercise of stock options. Cash used in financing activities during the fiscal year ended June 30, 2015 was primarily due to the repurchase of shares of our common stock of $9.9 million and principal payments of $9.2 million made towards the October 2013 Term Loan.</w:t>
      </w:r>
    </w:p>
    <w:p>
      <w:pPr>
        <w:spacing w:after="0" w:line="10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June 30, 2016 and 2015, the total amount of our foreign subsidiary cash was $5.1 million and $5.2 million, respectively. For earnings considered to be indefinitely reinvested, we have not accrued taxes. If we were to remit the cash and cash equivalents from our foreign subsidiaries to our U.S. consolidated group for the purpose of repatriation of undistributed earnings, we would need to accrue and pay taxes. As of June 30, 2016, our U.S. consolidated group had approximately $1.1 million of permanently reinvested unremitted earnings from our subsidiaries, and if these earnings were remitted, the impact of any tax consequences on our overall liquidity position would not be material. We do not have any plans to repatriate these unremitted earnings to our parent; therefore, we do not have any liquidity concerns relating to these unremitted earnings and related cash and cash equivalents.</w:t>
      </w:r>
    </w:p>
    <w:p>
      <w:pPr>
        <w:spacing w:after="0" w:line="1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At June 30, 2016, we had working capital (current assets minus current liabilities) of $13.9 million compared to working capital of $4.6 million at June 30, 2015. The increase in working capital was due primarily to increases in inventory and decreases in short term debt, partially offset by increases in accounts payable and accrued expenses.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or equity markets and repurchase our equity securities without prior approval from the lender. Additionally, we would consider realigning our strategic plans including a reduction in capital spending.</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- 41-</w:t>
      </w:r>
    </w:p>
    <w:p>
      <w:pPr>
        <w:sectPr>
          <w:pgSz w:w="11900" w:h="16838" w:orient="portrait"/>
          <w:cols w:equalWidth="0" w:num="1">
            <w:col w:w="11380"/>
          </w:cols>
          <w:pgMar w:left="240" w:top="580"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4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On October 18, 2013, we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We did not borrow any amounts under the October 2013 Delayed Draw Term Loan.</w:t>
      </w:r>
    </w:p>
    <w:p>
      <w:pPr>
        <w:spacing w:after="0" w:line="10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 2015, we entered into an Amendment No. 1 to Financing Agreement ("Amendment No. 1"). Amendment No. 1 revised the covenants relating to minimum consolidated EBITDA (as defined in the Financing Agreement) for the four consecutive fiscal quarters ending March 31, 2015 and June 30, 2015 from $20.6 million and $21.3 million, respectively, to $17.0 million for each quarter end. Amendment No. 1 also revised the minimum unrestricted cash and cash equivalents that we were required to hold from $10.0 million to $8.0 million for the reporting periods ended March 31, 2015 and June 30, 2015. In addition, Amendment No. 1 required that we make certain accelerated principal payments on the October 2013 Term Loan totaling $4.5 million during the fourth quarter of fiscal year 2015.</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27, 2015, we entered into an Amendment No. 2 to Financing Agreement ("Amendment No. 2" and collectively, with the October 2013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 previously amended by Amendment No. 1, the "October 2013 Credit Facility"). Amendment No. 2 revised the covenants related to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(as defined in the amended Financing Agreement) for the four consecutive fiscal quarters ending September 30, 2015,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March 31, 2016 and June 30, 2016 from $22.2 million, $23.1 million, $24.4 million and $25.6 million, respectively, to $14.5 million, $15.0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and $17.5 million, respectively. In addition, Amendment No. 2 required that we make additional monthly accelerated principal payments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2013 Term Loan in the amount of $0.5 million commencing on October 15, 2015 and continuing until the October 2013 Term Loan was paid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2 also required that we make additional accelerated payments at the end of each fiscal quarter in the amount of all unrestricted cash on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close of business on the last day of the quarter in excess of $12.5 million. On March 30, 2016, we repaid the full amount outstanding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2013 Term Loan and terminated the October 2013 Credit Facility.</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March 30, 2016, we entered into a Loan Agreement (the "March 2016 Loan Agreement") to refinance our outstanding debt under the October 2013 Term Loan. In connection with the March 2016 Loan Agreement and on the same date, we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10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we borrow under the March 2016 Revolving Loan, interest will be payable quarterly in arrears on the last day of each fiscal quarter at a variable rate equal to the 30 day LIBOR rate plus 3.5%.</w:t>
      </w:r>
    </w:p>
    <w:p>
      <w:pPr>
        <w:spacing w:after="0" w:line="9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Loans outstanding under the March 2016 Credit Facility may be prepaid in whole or in part at any time without premium or penalty. In addition, if, at any time, the aggregate principal amount outstanding under the March 2016 Revolving Loan exceeds $2.0 million, we must prepay an amount equal to such excess. Any principal amount of the March 2016 Term Loan which is prepaid or repaid may not be re-borrowed.</w:t>
      </w:r>
    </w:p>
    <w:p>
      <w:pPr>
        <w:spacing w:after="0" w:line="9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March 2016 Credit Facility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w:t>
      </w:r>
    </w:p>
    <w:p>
      <w:pPr>
        <w:spacing w:after="0" w:line="9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81" w:lineRule="exact"/>
        <w:rPr>
          <w:sz w:val="20"/>
          <w:szCs w:val="20"/>
          <w:color w:val="auto"/>
        </w:rPr>
      </w:pPr>
    </w:p>
    <w:p>
      <w:pPr>
        <w:ind w:left="660" w:right="3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fixed charge coverage ratio (as defined in the March 2016 Loan Agreement) of at least 1.50 to 1.00 at the end of each fiscal quarter, measured on a trailing twelve month basis;</w:t>
      </w:r>
    </w:p>
    <w:p>
      <w:pPr>
        <w:spacing w:after="0" w:line="8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consolidated working capital (as defined in the March 2016 Loan Agreement) at the end of each fiscal quarter of at least $5.0 million;</w:t>
      </w:r>
    </w:p>
    <w:p>
      <w:pPr>
        <w:spacing w:after="0" w:line="323"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580" w:right="259" w:bottom="1440" w:gutter="0" w:footer="0" w:header="0"/>
        </w:sectPr>
      </w:pPr>
    </w:p>
    <w:bookmarkStart w:id="42" w:name="page43"/>
    <w:bookmarkEnd w:id="42"/>
    <w:p>
      <w:pPr>
        <w:ind w:left="660" w:right="5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funded debt to EBITDA (as defined in the March 2016 Loan Agreement) of not greater than 2.00 to 1.00 at the end of each quarter, measured on a trailing twelve month basis; and</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tangible net worth (as defined in the March 2016 Loan Agreement) of at least $4.0 million as of June 30, 2016 and maintain at least that minimum tangible net worth thereafter, measured annually at the end of each subsequent fiscal year.</w:t>
      </w:r>
    </w:p>
    <w:p>
      <w:pPr>
        <w:spacing w:after="0" w:line="81"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As of June 30, 2016, we were in compliance with all applicable financial covenants under the March 2016 Credit Facility; provided, however that on October 24, 2016, we were granted a waiver and extension to the covenants requiring us to provide the lender with audited financial statements for the Company’s 2016 fiscal year on or before October 28, 2016. Under the limited waiver and extension, the lender has agreed to waive compliance with this requirement if we deliver such audited financial statements prior to December 31, 2016. See Note 6 to our Consolidated Financial Statements contained within this Annual Report on Form 10-K for a discussion of the limited waiver and extension. Other than the delivery of the audited financial statement described above, management anticipates that in the normal course of operations we will be in compliance with the financial covenants during the ensuing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payment obligations and commitments as of June 30, 2016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2"/>
                <w:szCs w:val="12"/>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22,037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2016 and 2015, we had no off-balance sheet arrangements.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Some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0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Allowances for Product Returns</w:t>
      </w:r>
    </w:p>
    <w:p>
      <w:pPr>
        <w:spacing w:after="0" w:line="144"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June 30, 2016, our shipments of products sold totaling approximately $17.5 million were subject to our return policy. In addition, we allow terminating distributors to return up to 30% of unopened, unexpired product that they purchased within the prior twelve months.</w:t>
      </w:r>
    </w:p>
    <w:p>
      <w:pPr>
        <w:spacing w:after="0" w:line="99" w:lineRule="exact"/>
        <w:rPr>
          <w:sz w:val="20"/>
          <w:szCs w:val="20"/>
          <w:color w:val="auto"/>
        </w:rPr>
      </w:pPr>
    </w:p>
    <w:p>
      <w:pPr>
        <w:jc w:val="both"/>
        <w:ind w:right="60" w:firstLine="324"/>
        <w:spacing w:after="0" w:line="289" w:lineRule="auto"/>
        <w:rPr>
          <w:sz w:val="20"/>
          <w:szCs w:val="20"/>
          <w:color w:val="auto"/>
        </w:rPr>
      </w:pPr>
      <w:r>
        <w:rPr>
          <w:rFonts w:ascii="Times New Roman" w:cs="Times New Roman" w:eastAsia="Times New Roman" w:hAnsi="Times New Roman"/>
          <w:sz w:val="17"/>
          <w:szCs w:val="17"/>
          <w:color w:val="auto"/>
        </w:rPr>
        <w:t>We monitor our product returns estimate on an ongoing basis and revise the allowances to reflect our experience. Our allowance for product returns was $0.3 million at June 30, 2016, compared with $0.1 million at June 30, 2015. To date, product expiration dates have not played any role in product returns, and we do not expect they will in the future as it is unlikely that we will ship product with an expiration date earlier than the latest allowable product return date.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Inventory Valuation</w:t>
      </w:r>
    </w:p>
    <w:p>
      <w:pPr>
        <w:spacing w:after="0" w:line="14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103" w:lineRule="exact"/>
        <w:rPr>
          <w:sz w:val="20"/>
          <w:szCs w:val="20"/>
          <w:color w:val="auto"/>
        </w:rPr>
      </w:pPr>
    </w:p>
    <w:p>
      <w:pPr>
        <w:ind w:right="1800" w:firstLine="324"/>
        <w:spacing w:after="0" w:line="407" w:lineRule="auto"/>
        <w:rPr>
          <w:sz w:val="20"/>
          <w:szCs w:val="20"/>
          <w:color w:val="auto"/>
        </w:rPr>
      </w:pPr>
      <w:r>
        <w:rPr>
          <w:rFonts w:ascii="Times New Roman" w:cs="Times New Roman" w:eastAsia="Times New Roman" w:hAnsi="Times New Roman"/>
          <w:sz w:val="18"/>
          <w:szCs w:val="18"/>
          <w:color w:val="auto"/>
        </w:rPr>
        <w:t xml:space="preserve">We have recorded $0.3 million and $0.3 million of obsolescence costs for the years ended June 30, 2016 and 2015, respectively. </w:t>
      </w:r>
      <w:r>
        <w:rPr>
          <w:rFonts w:ascii="Times New Roman" w:cs="Times New Roman" w:eastAsia="Times New Roman" w:hAnsi="Times New Roman"/>
          <w:sz w:val="18"/>
          <w:szCs w:val="18"/>
          <w:u w:val="single" w:color="auto"/>
          <w:color w:val="auto"/>
        </w:rPr>
        <w:t>Revenue Recognition</w:t>
      </w:r>
    </w:p>
    <w:p>
      <w:pPr>
        <w:ind w:left="340"/>
        <w:spacing w:after="0"/>
        <w:rPr>
          <w:sz w:val="20"/>
          <w:szCs w:val="20"/>
          <w:color w:val="auto"/>
        </w:rPr>
      </w:pPr>
      <w:r>
        <w:rPr>
          <w:rFonts w:ascii="Times New Roman" w:cs="Times New Roman" w:eastAsia="Times New Roman" w:hAnsi="Times New Roman"/>
          <w:sz w:val="18"/>
          <w:szCs w:val="18"/>
          <w:color w:val="auto"/>
        </w:rPr>
        <w:t>We ship the majority of our product directly to the consumer and receive substantially all payment for these sales in the form of credit card receipts.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direct product sales to customers is recognized upon shipment, which is when passage of title and risk of loss occurs.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expense all of our costs related to research and development activities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Accruals</w:t>
      </w:r>
    </w:p>
    <w:p>
      <w:pPr>
        <w:spacing w:after="0" w:line="14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Refer to “Item 8. Financial Statements and Supplementary Data” and Note 2 to our consolidated financial statements included in Item 15 of this report for discussion regarding the impact of accounting standards that were recently issued but not yet effective,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June 30, 2016, approximately 26% of our net revenue was realized outside of the United States. The local currency of each international subsidiary is generally the functional currency. All revenues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w:t>
      </w: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- 44-</w:t>
      </w:r>
    </w:p>
    <w:p>
      <w:pPr>
        <w:sectPr>
          <w:pgSz w:w="11900" w:h="16838" w:orient="portrait"/>
          <w:cols w:equalWidth="0" w:num="1">
            <w:col w:w="11340"/>
          </w:cols>
          <w:pgMar w:left="240" w:top="580" w:right="319" w:bottom="1440" w:gutter="0" w:footer="0" w:header="0"/>
        </w:sectPr>
      </w:pPr>
    </w:p>
    <w:bookmarkStart w:id="44" w:name="page45"/>
    <w:bookmarkEnd w:id="44"/>
    <w:p>
      <w:pPr>
        <w:ind w:right="140"/>
        <w:spacing w:after="0" w:line="256" w:lineRule="auto"/>
        <w:rPr>
          <w:sz w:val="20"/>
          <w:szCs w:val="20"/>
          <w:color w:val="auto"/>
        </w:rPr>
      </w:pPr>
      <w:r>
        <w:rPr>
          <w:rFonts w:ascii="Times New Roman" w:cs="Times New Roman" w:eastAsia="Times New Roman" w:hAnsi="Times New Roman"/>
          <w:sz w:val="18"/>
          <w:szCs w:val="18"/>
          <w:color w:val="auto"/>
        </w:rPr>
        <w:t>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June 30, 2016, we did not have any derivative instruments. A 10% strengthening of the U.S. Dollar compared to all of the foreign currencies in which we transact business would have resulted in a 2.4% decrease of our 2016 fiscal year revenue, in the amount of $4.9 million.</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average currency exchange rates of U.S. $1 into local currency for each of our international or foreign markets: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June 30, 2016</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June 30, 2015</w:t>
            </w: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4"/>
        </w:trPr>
        <w:tc>
          <w:tcPr>
            <w:tcW w:w="25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1st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2nd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3rd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4th</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1st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2nd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3rd</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4th</w:t>
            </w:r>
          </w:p>
        </w:tc>
      </w:tr>
      <w:tr>
        <w:trPr>
          <w:trHeight w:val="238"/>
        </w:trPr>
        <w:tc>
          <w:tcPr>
            <w:tcW w:w="25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7"/>
        </w:trPr>
        <w:tc>
          <w:tcPr>
            <w:tcW w:w="25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2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122.25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121.44</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115.38</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107.97</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103.93</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114.47</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119.17</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121.35</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15.32</w:t>
            </w:r>
          </w:p>
        </w:tc>
      </w:tr>
      <w:tr>
        <w:trPr>
          <w:trHeight w:val="27"/>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Thailand</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35.28</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35.91</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32.17</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32.77</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r>
      <w:tr>
        <w:trPr>
          <w:trHeight w:val="27"/>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0.90</w:t>
            </w:r>
          </w:p>
        </w:tc>
      </w:tr>
      <w:tr>
        <w:trPr>
          <w:trHeight w:val="27"/>
        </w:trPr>
        <w:tc>
          <w:tcPr>
            <w:tcW w:w="2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14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8 is set forth in the consolidated financial statements included in Item 15 of this report and is incorporated into this Item 8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pursuant to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9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 13a-15(e) under the Exchange Act) as of June 30, 2016. Based on that evaluation, our management identified certain design deficiencies in our internal control over financial reporting related to the lack of sufficient controls governing our international business policies, practices, monitoring and training as described below. Based on the evaluation of our disclosure controls and procedures as of June 30, 2016, our Chief Executive Officer and Chief Financial Officer concluded that, as a result of a material weakness in our internal control over financial reporting, our disclosure controls and procedures were not effective as of June 30, 2016.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4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management’s annual report on our internal control over financial reporting is set forth below and the report of our independent registered public accounting firm is included on page F-3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Our system of internal control over financial reporting is designed to provide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w:t>
      </w:r>
    </w:p>
    <w:p>
      <w:pPr>
        <w:sectPr>
          <w:pgSz w:w="11900" w:h="16838" w:orient="portrait"/>
          <w:cols w:equalWidth="0" w:num="1">
            <w:col w:w="11420"/>
          </w:cols>
          <w:pgMar w:left="240" w:top="580" w:right="239" w:bottom="1440" w:gutter="0" w:footer="0" w:header="0"/>
        </w:sectPr>
      </w:pPr>
    </w:p>
    <w:bookmarkStart w:id="45" w:name="page46"/>
    <w:bookmarkEnd w:id="45"/>
    <w:p>
      <w:pPr>
        <w:ind w:right="200"/>
        <w:spacing w:after="0" w:line="282" w:lineRule="auto"/>
        <w:rPr>
          <w:sz w:val="20"/>
          <w:szCs w:val="20"/>
          <w:color w:val="auto"/>
        </w:rPr>
      </w:pPr>
      <w:r>
        <w:rPr>
          <w:rFonts w:ascii="Times New Roman" w:cs="Times New Roman" w:eastAsia="Times New Roman" w:hAnsi="Times New Roman"/>
          <w:sz w:val="18"/>
          <w:szCs w:val="18"/>
          <w:color w:val="auto"/>
        </w:rPr>
        <w:t>reasonable assurance to our management and Board of Directors regarding the preparation and fair presentation of our consolidated and combined financial statements for external purposes in accordance with generally accepted accounting principles.</w:t>
      </w:r>
    </w:p>
    <w:p>
      <w:pPr>
        <w:spacing w:after="0" w:line="8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our Chief Financial Officer, assessed the effectiveness of our internal control over financial reporting as of June 30, 2016. In making this assessment, we used the framework included in Internal Control - Integrated Framework published by the Committee of Sponsoring Organizations of the Treadway Commission 2013 (COSO). Based on that evaluation, our management concluded that, as of June 30, 2016, our internal control over financial reporting was not effective due to the identification of a material weakness related to our business policies, practices, monitoring and training governing our international business operations, including the sale and distribution of our products in international markets. Under standards established by the Public Company Accounting Oversight Board of the United States ("PCAOB"),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Independent Review</w:t>
      </w:r>
    </w:p>
    <w:p>
      <w:pPr>
        <w:spacing w:after="0" w:line="14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13, 2016, we announced the delayed filing of this Annual Report on Form 10-K to allow the Audit Committee of our Board of Directors to conduct an independent review related to the distribution of our products into countries outside the U.S, in which those products are not registered or that otherwise impose stringent restrictions on our direct selling model, and the associated revenue and tax and other accruals associated with such sales. This independent review was initiated following internal reviews by Company personnel and was further informed by the content of employee complaints. The Audit Committee retained independent counsel to assist it in conducting the review. Based on its independent review, the Audit Committee determined that (i) we had sold our products to independent distributors who carried or shipped such products primarily into four countries outside the U.S. in which those products are not registered or that otherwise impose stringent restrictions on our direct selling model; (ii) we allowed individuals who were resident in countries that impose stringent restrictions on our direct selling model to enroll as independent distributors; and (iii) we did not have in place sufficient controls governing our international business policies, practices, monitoring and training to provide reasonable assurance that such distribution of our products complied with applicable customs, tax and other regulatory requirements. The inadequate controls and processes related to the lack of documented country-specific policies and procedures governing (i) distributor enrollment policies and procedures; (ii) approved distributor payment and collection methods; (iii) methods for shipping and order fulfillment; (iv) approval requirements for transactions with distributors outside of our approved compensation plans; and (v) lack of change controls related to changes to existing country-specific policies and procedures. In addition, we had inadequate controls in place related to the training, monitoring and oversight of our personnel who were involved in or managed our international business operations. Accordingly, we identified a material weakness in our internal controls over financial reporting as of the period ended June 30, 2016.</w:t>
      </w:r>
    </w:p>
    <w:p>
      <w:pPr>
        <w:spacing w:after="0" w:line="11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Notwithstanding this material weakness, our management and Audit Committee concluded that the revenue related to the sales that were the subject of the Audit Committee’s independent review was properly recognized and that no tax or other accruals relating to such sales were necessary. In making this determination, we obtained international tax and legal advice from external accounting and law firms that have relevant country-specific expertise regarding our potential obligations and liabilities associated with the import and distribution of our products into the countries described above. Based on this advice, we have not established a loss contingency accrual for potential import or other liabilities in these countries, as we believe the likelihood of any such liabilities being assessed against the Company is remote, in part, based on the evaluation of country-specific import laws and regulations and on our actions to stop or restrict the processes used by independent distributors to carry or ship our products into countries where such products are not registered. Accordingly, our management and Audit Committee concluded that (i) the consolidated financial statements included in this Annual Report on Form 10-K fairly present in all material respects the Company’s financial position, results of operations and cash flows for the periods presented in conformity with accounting principles generally accepted in the United States of America and (ii) no restatement of prior period financial statements is required.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Attestation Report on Internal Control Over Financial Reporting</w:t>
      </w:r>
    </w:p>
    <w:p>
      <w:pPr>
        <w:spacing w:after="0" w:line="148" w:lineRule="exact"/>
        <w:rPr>
          <w:sz w:val="20"/>
          <w:szCs w:val="20"/>
          <w:color w:val="auto"/>
        </w:rPr>
      </w:pPr>
    </w:p>
    <w:p>
      <w:pPr>
        <w:ind w:right="380" w:firstLine="324"/>
        <w:spacing w:after="0" w:line="313" w:lineRule="auto"/>
        <w:rPr>
          <w:sz w:val="20"/>
          <w:szCs w:val="20"/>
          <w:color w:val="auto"/>
        </w:rPr>
      </w:pPr>
      <w:r>
        <w:rPr>
          <w:rFonts w:ascii="Times New Roman" w:cs="Times New Roman" w:eastAsia="Times New Roman" w:hAnsi="Times New Roman"/>
          <w:sz w:val="17"/>
          <w:szCs w:val="17"/>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2016.</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Material Weakness</w:t>
      </w:r>
    </w:p>
    <w:p>
      <w:pPr>
        <w:spacing w:after="0" w:line="14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To remediate the material weakness in our internal controls over financial reporting described above, we are developing and implementing new control policies and procedures regarding the international business policies, practices, monitoring and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- 46-</w:t>
      </w:r>
    </w:p>
    <w:p>
      <w:pPr>
        <w:sectPr>
          <w:pgSz w:w="11900" w:h="16838" w:orient="portrait"/>
          <w:cols w:equalWidth="0" w:num="1">
            <w:col w:w="11420"/>
          </w:cols>
          <w:pgMar w:left="240" w:top="580" w:right="239" w:bottom="1440" w:gutter="0" w:footer="0" w:header="0"/>
        </w:sectPr>
      </w:pPr>
    </w:p>
    <w:bookmarkStart w:id="46" w:name="page47"/>
    <w:bookmarkEnd w:id="46"/>
    <w:p>
      <w:pPr>
        <w:ind w:right="60"/>
        <w:spacing w:after="0" w:line="256" w:lineRule="auto"/>
        <w:rPr>
          <w:sz w:val="20"/>
          <w:szCs w:val="20"/>
          <w:color w:val="auto"/>
        </w:rPr>
      </w:pPr>
      <w:r>
        <w:rPr>
          <w:rFonts w:ascii="Times New Roman" w:cs="Times New Roman" w:eastAsia="Times New Roman" w:hAnsi="Times New Roman"/>
          <w:sz w:val="18"/>
          <w:szCs w:val="18"/>
          <w:color w:val="auto"/>
        </w:rPr>
        <w:t>training for each country outside the U.S. in which we do business. As an initial step, we implemented changes to our systems and distributor enrollment requirements intended to stop or restrict the processes used by independent distributors to purchase and carry or ship our products into countries in which those products are not registered or that otherwise impose stringent restrictions on our direct selling model. Looking forward, we are in the process of developing appropriate country-specific policies and procedures to help ensure that our products are not distributed or sold into countries without complying with applicable customs, tax and other regulatory requirements. Additional steps we have taken and are taking to remediate the material weakness in our internal controls over financial reporting include creating market-specific policy manuals documenting the following:</w:t>
      </w:r>
    </w:p>
    <w:p>
      <w:pPr>
        <w:spacing w:after="0" w:line="107" w:lineRule="exact"/>
        <w:rPr>
          <w:sz w:val="20"/>
          <w:szCs w:val="20"/>
          <w:color w:val="auto"/>
        </w:rPr>
      </w:pPr>
    </w:p>
    <w:p>
      <w:pPr>
        <w:ind w:left="980" w:right="60" w:hanging="648"/>
        <w:spacing w:after="0" w:line="282" w:lineRule="auto"/>
        <w:tabs>
          <w:tab w:leader="none" w:pos="6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enrollment requirements by country, including the requirement of sufficient and appropriate oversight and senior management approvals for any changes to such country-specific policies;</w:t>
      </w:r>
    </w:p>
    <w:p>
      <w:pPr>
        <w:spacing w:after="0" w:line="80"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6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distributor payment and collection policies by country, including the requirement of sufficient and appropriate oversight and senior management approvals for any changes to such country-specific policies;</w:t>
      </w:r>
    </w:p>
    <w:p>
      <w:pPr>
        <w:spacing w:after="0" w:line="80" w:lineRule="exact"/>
        <w:rPr>
          <w:rFonts w:ascii="Times New Roman" w:cs="Times New Roman" w:eastAsia="Times New Roman" w:hAnsi="Times New Roman"/>
          <w:sz w:val="18"/>
          <w:szCs w:val="18"/>
          <w:color w:val="auto"/>
        </w:rPr>
      </w:pPr>
    </w:p>
    <w:p>
      <w:pPr>
        <w:ind w:left="980" w:right="140" w:hanging="648"/>
        <w:spacing w:after="0" w:line="282" w:lineRule="auto"/>
        <w:tabs>
          <w:tab w:leader="none" w:pos="6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shipping, order fulfillment and customs import policies by country, including the requirement of sufficient and appropriate oversight and senior management approvals for any changes to such country-specific policies;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requirements for transactions between us and independent distributors outside of our approved compensation plans.</w:t>
      </w:r>
    </w:p>
    <w:p>
      <w:pPr>
        <w:spacing w:after="0" w:line="14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as we implement country-specific policies, we are requiring that we obtain international tax and legal advice from external accounting and law firms that have relevant country-specific expertise to help ensure that potential international tax and legal issues are appropriately identified and addressed. We have also started the process of evaluating and re-allocating personnel resources to ensure that each market has adequate resources to support our remediation efforts and our new processes and controls. We also will establish and conduct company-wide training programs on our new policies and controls.</w:t>
      </w:r>
    </w:p>
    <w:p>
      <w:pPr>
        <w:spacing w:after="0" w:line="10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actions are subject to ongoing review by our management, including our Chief Executive Officer and Chief Financial Officer, as well as oversight by our Audit Committee. Although we plan to complete this remediation process as quickly as possible, the material weakness in our internal control over financial reporting will not be considered remediated until the applicable remedial processes and controls operate for a sufficient period of time and management has concluded, through testing, that these controls are operating effectively. As a result, we cannot, at this time, estimate when such remediation will be completed. In addition, the remediation steps we have taken, are taking and expect to take may not effectively remediate the material weakness, in which case our internal control over financial reporting would continue to be ineffective.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during the quarter ended June 30, 2016 that have materially affected or are reasonably likely to materially affect our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- 47-</w:t>
      </w:r>
    </w:p>
    <w:p>
      <w:pPr>
        <w:sectPr>
          <w:pgSz w:w="11900" w:h="16838" w:orient="portrait"/>
          <w:cols w:equalWidth="0" w:num="1">
            <w:col w:w="11340"/>
          </w:cols>
          <w:pgMar w:left="240" w:top="58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14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directors and executive officers as of June 30, 2016. Additional biographical information for each individual is provided in the text following the table.</w:t>
      </w:r>
    </w:p>
    <w:p>
      <w:pPr>
        <w:spacing w:after="0" w:line="131" w:lineRule="exact"/>
        <w:rPr>
          <w:sz w:val="20"/>
          <w:szCs w:val="20"/>
          <w:color w:val="auto"/>
        </w:rPr>
      </w:pPr>
    </w:p>
    <w:tbl>
      <w:tblPr>
        <w:tblLayout w:type="fixed"/>
        <w:tblInd w:w="960" w:type="dxa"/>
        <w:tblCellMar>
          <w:top w:w="0" w:type="dxa"/>
          <w:left w:w="0" w:type="dxa"/>
          <w:bottom w:w="0" w:type="dxa"/>
          <w:right w:w="0" w:type="dxa"/>
        </w:tblCellMar>
      </w:tblPr>
      <w:tr>
        <w:trPr>
          <w:trHeight w:val="265"/>
        </w:trPr>
        <w:tc>
          <w:tcPr>
            <w:tcW w:w="30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Position with Company</w:t>
            </w:r>
          </w:p>
        </w:tc>
      </w:tr>
      <w:tr>
        <w:trPr>
          <w:trHeight w:val="27"/>
        </w:trPr>
        <w:tc>
          <w:tcPr>
            <w:tcW w:w="2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Darren Jensen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Mark Jaggi</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Robert Urban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Ryan Goodwin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Justin Rose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Sales Officer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Michelle Oborn-Virchow</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of Human Resources</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Michael A. Beindorff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David S. Manovich</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Garry Mauro</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Independent Director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George E. Metzger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Richard Okumoto</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David Toole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Each officer serves at the discretion of our board of directors and holds office until his or her successor is appointed or until his or her earlier resignation or removal. There are no family relationships among any of our executive officers and directors.</w:t>
      </w:r>
    </w:p>
    <w:p>
      <w:pPr>
        <w:spacing w:after="0" w:line="5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MR. DARREN JENSEN</w:t>
      </w:r>
      <w:r>
        <w:rPr>
          <w:rFonts w:ascii="Times New Roman" w:cs="Times New Roman" w:eastAsia="Times New Roman" w:hAnsi="Times New Roman"/>
          <w:sz w:val="18"/>
          <w:szCs w:val="18"/>
          <w:color w:val="auto"/>
        </w:rPr>
        <w:t>. Mr. Jensen was appointed as our President and Chief Executive Officer in May 2015. He was appointed to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2016 by the board of directors and has not previously been up for election at an annual meeting of shareholders. From June 2014 to May 2015, Mr. Jensen served as the President-Americas and from September 2012 to June 2014 as the Chief Sales Officer at Jeunesse Global, a privately held direct selling anti-aging and skin care company. Prior to joining Jeunesse Global, Mr. Jensen served from August 2011 to June 2012 as the Chief Sales Officer of Ampegy, a privately held direct selling company in the energy industry. Prior to that, he was the Executive Vice President and Corporate General Manager at Agel Enterprises, a nutritional supplements direct selling company, where he was also a Co-Founder of the Agel Cares Foundation. From 2003 to 2005, Mr. Jensen was the Director of International Business Development at USANA Inc. Mr Jensen served as a Brand Manager at Amway Global from 1995 to 1997. Mr. Jensen began his direct selling career at Nu Skin Enterprises in Provo, where he served as an International Marketing Specialist from 1990-1995. Mr. Jensen received a bachelor of arts degree from Brigham Young University. Mr. Jensen’s more than 25 years of experience in the direct selling industry brings to our board of directors deep industry expertise as well as strong leadership in all aspects of our business.</w:t>
      </w:r>
    </w:p>
    <w:p>
      <w:pPr>
        <w:spacing w:after="0" w:line="78"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MR. RYAN GOODWIN</w:t>
      </w:r>
      <w:r>
        <w:rPr>
          <w:rFonts w:ascii="Times New Roman" w:cs="Times New Roman" w:eastAsia="Times New Roman" w:hAnsi="Times New Roman"/>
          <w:sz w:val="17"/>
          <w:szCs w:val="17"/>
          <w:color w:val="auto"/>
        </w:rPr>
        <w:t>. Mr. Goodwin was appointed as our Chief Marketing Officer in November 2015. Mr. Goodwin brings more than a decade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experience building brands and marketing strategies for both direct sales companies and traditional consumer brands. In July 2013, Mr. Goodwin founded Dinng, a brand and digital brand studio, where he serves as President and Creative Director. Prior to founding Dinng, in January 2003, Mr. Goodwin co-founded Struck, a full service creative agency, where he was in charge of the entire creative product as the Executive Creative Director until February 2009 after which he served as Chairman of the Board until September 2014. Mr. Goodwin earned his bachelor of fine arts degree from Brigham Young University.</w:t>
      </w:r>
    </w:p>
    <w:p>
      <w:pPr>
        <w:spacing w:after="0" w:line="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MR. MARK JAGGI</w:t>
      </w:r>
      <w:r>
        <w:rPr>
          <w:rFonts w:ascii="Times New Roman" w:cs="Times New Roman" w:eastAsia="Times New Roman" w:hAnsi="Times New Roman"/>
          <w:sz w:val="18"/>
          <w:szCs w:val="18"/>
          <w:color w:val="auto"/>
        </w:rPr>
        <w:t>. Mr. Jaggi was appointed our Chief Financial Officer and Treasurer in August 2015. From March 2012 to August 2015, Mr. Jaggi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Executive Vice President, Treasurer and Chief Financial Officer of Twinlab Consolidated Holdings Inc., a publicly traded nutritional supplements and natural products company. Prior to joining Twinlab Consolidated Holdings Mr. Jaggi was with Summit Industries, a manufacturer and marketer of pharmaceutical and non-regulated liquid and cream solutions, as its President and Chief Executive Officer from 2009 until March 2012 and as its Chief Financial Officer from 2007 to 2009. Prior to Summit Industries, Mr. Jaggi served as Director of Finance at O’Sullivan Industries from 2005 to 2007 and held positions of increasing responsibility at Ford Motor Company from 1998 to 2005. Mr. Jaggi holds a bachelor’s degree in Finance from the University of Utah and an MBA from Duke University.</w:t>
      </w:r>
    </w:p>
    <w:p>
      <w:pPr>
        <w:spacing w:after="0" w:line="75"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MS. MICHELLE OBORN-VIRCHOW</w:t>
      </w:r>
      <w:r>
        <w:rPr>
          <w:rFonts w:ascii="Times New Roman" w:cs="Times New Roman" w:eastAsia="Times New Roman" w:hAnsi="Times New Roman"/>
          <w:sz w:val="18"/>
          <w:szCs w:val="18"/>
          <w:color w:val="auto"/>
        </w:rPr>
        <w:t>. Ms. Oborn-Virchow became our Senior Vice President of Human Resources in November 2015, prior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she served as our Vice President of Human Resources from July 2012 through November 2015 and as our Director of Human Resources from February 2009 through July 2012. From May 2008 until February 2009,</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- 48-</w:t>
      </w:r>
    </w:p>
    <w:p>
      <w:pPr>
        <w:sectPr>
          <w:pgSz w:w="11900" w:h="16838" w:orient="portrait"/>
          <w:cols w:equalWidth="0" w:num="1">
            <w:col w:w="11400"/>
          </w:cols>
          <w:pgMar w:left="240" w:top="576" w:right="259" w:bottom="1440" w:gutter="0" w:footer="0" w:header="0"/>
        </w:sectPr>
      </w:pPr>
    </w:p>
    <w:bookmarkStart w:id="48" w:name="page49"/>
    <w:bookmarkEnd w:id="48"/>
    <w:p>
      <w:pPr>
        <w:ind w:right="140"/>
        <w:spacing w:after="0" w:line="266" w:lineRule="auto"/>
        <w:rPr>
          <w:sz w:val="20"/>
          <w:szCs w:val="20"/>
          <w:color w:val="auto"/>
        </w:rPr>
      </w:pPr>
      <w:r>
        <w:rPr>
          <w:rFonts w:ascii="Times New Roman" w:cs="Times New Roman" w:eastAsia="Times New Roman" w:hAnsi="Times New Roman"/>
          <w:sz w:val="18"/>
          <w:szCs w:val="18"/>
          <w:color w:val="auto"/>
        </w:rPr>
        <w:t>Ms. Oborn-Virchow was the Human Resources Manager at Zrii LLC, an international network marketing company. Ms. Oborn-Virchow earned a bachelor's degree in Political Science from the University of Utah and holds a Senior Professional in Human Resources Certification from the Human Resource Certification Institute.</w:t>
      </w:r>
    </w:p>
    <w:p>
      <w:pPr>
        <w:spacing w:after="0" w:line="6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JUSTIN ROSE. </w:t>
      </w:r>
      <w:r>
        <w:rPr>
          <w:rFonts w:ascii="Times New Roman" w:cs="Times New Roman" w:eastAsia="Times New Roman" w:hAnsi="Times New Roman"/>
          <w:sz w:val="18"/>
          <w:szCs w:val="18"/>
          <w:color w:val="auto"/>
        </w:rPr>
        <w:t>Mr. Rose was appointed as our Chief Sales Officer in July 2015. From December 2010 through January 2014, Mr. Rose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Regional Vice President Sales and from January 2014 through June 2015 as the Senior Vice President of Sales and Field Development at Shaklee Corporation, a manufacturer and distributor of natural nutritional supplements and beauty and household products. Prior to joining Shaklee Corporation, from April 2003 through December 2010, Mr. Rose was President of North America and South Pacific at Nu Skin Enterprises and prior to that he was the General Manager - North America from 2000 to 2003. Mr. Rose was Director of Business Marketing and Director of Sales at USANA Inc. from 1999 to 2000. From 1994 to 1996, Mr. Rose was Director of Marketing and Sales at Aveda. Mr. Rose began his career as Marketing Services Manager at Nu Skin Enterprises 1989 to 1994. Mr. Rose earned a bachelor’s degree in International Relations, Business Management from Brigham Young University.</w:t>
      </w:r>
    </w:p>
    <w:p>
      <w:pPr>
        <w:spacing w:after="0" w:line="7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MR. ROBERT URBAN. </w:t>
      </w:r>
      <w:r>
        <w:rPr>
          <w:rFonts w:ascii="Times New Roman" w:cs="Times New Roman" w:eastAsia="Times New Roman" w:hAnsi="Times New Roman"/>
          <w:sz w:val="18"/>
          <w:szCs w:val="18"/>
          <w:color w:val="auto"/>
        </w:rPr>
        <w:t>Mr. Urban was appointed as our Chief Operating Officer in May 2012. Between May 2008 and May 2012, Mr. Urban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positions with WorkWell Systems, Inc., a privately held physical medicine and workers' compensation solutions company, including President, Chief Executive Officer and Chief Operating Officer. From September 2006 to May 2008, Mr. Urban was Chief Operating Officer and Vice President of Engineering for Home Technologies, Inc. Mr. Urban earned a bachelor's degree in Mechanical Engineering from Gonzaga University and a master's degree in Business Administration from University of Washington.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MICHAEL A. BEINDORFF. </w:t>
      </w:r>
      <w:r>
        <w:rPr>
          <w:rFonts w:ascii="Times New Roman" w:cs="Times New Roman" w:eastAsia="Times New Roman" w:hAnsi="Times New Roman"/>
          <w:sz w:val="18"/>
          <w:szCs w:val="18"/>
          <w:color w:val="auto"/>
        </w:rPr>
        <w:t>Mr. Beindorff has been an independent member of our board of directors since January 2012. Mr. Beindorff brings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35 years of experience in general management, operations, sales and marketing with a strong track record of building and leading disciplined organizational teams, driving rapid, profitable growth and delivering results across a variety of business environments. He currently serves as Principal and President of the Far Niente Group, a management consultancy and private investment entity focused on helping clients build effective business models, strong differentiated brands, viable product lines and sustainable businesses while maximizing return on investment, a position he has held since 2008. From 2004 to 2008 he served as Chief Operating Officer of Exclusive Resorts, a private club for luxury travel experience. From 2002 to 2004 he served as Principal and President of the Greentree Group, a management consultancy focused on helping clients build strong brands and effective business models. From 1999 to 2002 he served first as President and COO and then as Chairman and Chief Executive Officer of PlanetRx.com, an internet pharmacy and on-line health portal. From 1995 to 1999 he served as Executive Vice President of Marketing, Operations and Product Management for VISA. From 1978 to 1995 he held various positions leading global advertising, marketing and brand management for The Coca-Cola Company and Rhodes Furniture. Mr. Beindorff received his Bachelor of Science in Business Administration from the University of Alabama and his Masters of Business Administration from the Gouzuietta Business School at Emory University. Mr. Beindorff's broad background building and leading organizations, and experience in building strong sales and marketing, and branding initiatives brings to our board of directors expertise in operations and oversight as well as strong leadership and initiative.</w:t>
      </w:r>
    </w:p>
    <w:p>
      <w:pPr>
        <w:spacing w:after="0" w:line="81"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MR. DAVID S. MANOVICH</w:t>
      </w:r>
      <w:r>
        <w:rPr>
          <w:rFonts w:ascii="Times New Roman" w:cs="Times New Roman" w:eastAsia="Times New Roman" w:hAnsi="Times New Roman"/>
          <w:sz w:val="18"/>
          <w:szCs w:val="18"/>
          <w:color w:val="auto"/>
        </w:rPr>
        <w:t>. Mr. Manovich has been a member of our board of directors since January 2012. In addition, from February 2015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2015, Mr. Manovich served as our Executive Vice Chairman on an interim basis. Except for the period of his interim service as Executive Vice Chairman, Mr. Manovich has been and currently is an independent member of our board of directors. Following his interim service, our board of directors determined Mr. Manovich resumed being an independent member of our board of directors. Mr. Manovich has extensive experience in finance management and oversight, executive sales and marketing operations as well as distribution management and development. He currently serves as Managing Partner of D&amp;S Investments, a private investment entity focused on portfolio management for long term capital appreciation, a position he has held since 2006. From 2001 to 2006 Mr. Manovich was retired. From 1999 to 2001, he served as Chief Operating Officer and Senior Vice President of @Road Inc., a start-up wireless data services company. From 1998 to 1999, he served as a Partner of Union Atlantic, LC, an investment and venture capital merchant banking company. From 1997 to 1998, he served as Executive Vice President at Apple Computer where he was responsible for worldwide sales and support. From 1996 to 1997, he served as Vice President of Sales for Fujitsu P.C. where he was responsible for sales and channel development for the U.S., Canada, Central and Southern America and Caribbean markets. From 1985 to 1996, he served in various positions at Apple Computer, including as Vice President of U.S. consumer division, Director of Business Markets and Country Manager for the UK/Ireland as well as Regional and District Sales Manager in the U.S. From 1983 to 1985, he served as District Manager and franchise owner of Entre Computer. He served as Controller of the Federal Home Loan Bank of Seattle in 1983. Mr. Manovich began his career at Deloitte, Haskins &amp; Sells, where he served as a Certified Public Accountant from 1979 to 1983. Mr. Manovich received his Bachelor of Science in Business Administration with an emphasis on Marketing and Management from the University of Montana and his Masters of Business Administration with an emphasis on Finance from the University of Montana. Mr. Manovich's financial and accounting capabilities as well as his sales and marketing experience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- 49-</w:t>
      </w:r>
    </w:p>
    <w:p>
      <w:pPr>
        <w:sectPr>
          <w:pgSz w:w="11900" w:h="16838" w:orient="portrait"/>
          <w:cols w:equalWidth="0" w:num="1">
            <w:col w:w="11400"/>
          </w:cols>
          <w:pgMar w:left="240" w:top="580" w:right="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brings to our board of directors experience in executive oversight, expertise in financial modeling and insight, as well as leadership in operations.</w:t>
      </w:r>
    </w:p>
    <w:p>
      <w:pPr>
        <w:spacing w:after="0" w:line="11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MR. GARRY MAURO</w:t>
      </w:r>
      <w:r>
        <w:rPr>
          <w:rFonts w:ascii="Times New Roman" w:cs="Times New Roman" w:eastAsia="Times New Roman" w:hAnsi="Times New Roman"/>
          <w:sz w:val="18"/>
          <w:szCs w:val="18"/>
          <w:color w:val="auto"/>
        </w:rPr>
        <w:t>. Mr. Mauro has been an independent member of our board of directors since April 2008 and has served as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November 2013. Mr. Mauro is currently a practicing attorney in Texas and the District of Columbia. He is also a licensed stock broker. He has worked for over 30 years at the local, state and national levels on behalf of both private and public sector entities. From 1983 to 1999, he served as Commissioner of the Texas General Land Office overseeing the management of more than 20 million acres of state land, 18,000 oil and gas wells, and the state’s benefit program for Veterans. During his tenure as Commissioner, he also chaired the Veterans Land Board, the School Land Board, the Parks and Wildlife Board For Lease, the Texas Department of Corrections Board For Lease, the Permanent University Fund Board For Lease, the Coastal Coordination Council and the Texas Alternative Fuels Council and co-chaired the Sustainable Energy Development Council. He has received numerous honors and awards for his civic and philanthropic contributions in environmental, political and business arenas, including the “Man of the Year Award” from the Texas League of Women Voters and the “Rising Star of Texas Award” from Texas Business Magazine. In 1998, he was the Texas Democratic Party nominee for Governor. Mr. Mauro’s broad range of expertise brings to our board of directors experience in management and operations as well as strong leadership and oversight.</w:t>
      </w:r>
    </w:p>
    <w:p>
      <w:pPr>
        <w:spacing w:after="0" w:line="8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MR. GEORGE E. METZGER</w:t>
      </w:r>
      <w:r>
        <w:rPr>
          <w:rFonts w:ascii="Times New Roman" w:cs="Times New Roman" w:eastAsia="Times New Roman" w:hAnsi="Times New Roman"/>
          <w:sz w:val="18"/>
          <w:szCs w:val="18"/>
          <w:color w:val="auto"/>
        </w:rPr>
        <w:t>. Mr. Metzger has been an independent member of our board of directors since January 2012. Mr. Metzger has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 years of experience in executive compensation, human resources, benefits and labor relations as well as workforce planning. In December 2007, Mr. Metzger retired from Textron Inc., a company with international operations in multiple industries. Mr. Metzger worked in various capacities while at Textron beginning in 1985, and most recently served as Vice President of Human Resources and Benefits from 2000 until December 2007. In this role he was responsible for Textron's networked integrated human resource delivery system, including account based healthcare plans, retirement plan redesign and reward structure. From 1976 to 1985, he worked for Rockwell International, most recently as Director Human Resources. He worked at Clark Equipment Company from 1969 to 1976, where he served as Director Labor Relations at the time of his departure. From June 2008 until March 2014, Mr. Metzger served on the board of directors of WorkWell Systems, Inc., a privately held physical medicine and workers' compensation solutions company. Mr. Metzger received his Bachelor of Science in Business Administration from Trine University. Mr. Metzger's extensive experience with executive compensation, labor relations and benefits brings to our board of directors experience in human resources oversight and workforce planning and development.</w:t>
      </w:r>
    </w:p>
    <w:p>
      <w:pPr>
        <w:spacing w:after="0" w:line="7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MR. RICHARD OKUMOTO</w:t>
      </w:r>
      <w:r>
        <w:rPr>
          <w:rFonts w:ascii="Times New Roman" w:cs="Times New Roman" w:eastAsia="Times New Roman" w:hAnsi="Times New Roman"/>
          <w:sz w:val="18"/>
          <w:szCs w:val="18"/>
          <w:color w:val="auto"/>
        </w:rPr>
        <w:t>. Mr. Okumoto has been an independent member of our board of directors since November 2012. Mr. Okumoto has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 years of corporate finance, operations, and strategy development experience in rapid growth technology companies in Silicon Valley. Mr. Okumoto is currently an adjunct professor in the Lucas Graduate and Undergraduate Schools of Business at San Jose State University; a position he has held since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2008. He is also currently on faculty at California State University Long Beach and Keck Graduate Institute; positions he has held since 2014 and 2015, respectively. He teaches business strategy to MBA and post-doctoral students. He was a principal with the consulting firm of Miller-Okumoto, Inc. from 2007 to 2012. From 2008 to 2010 Mr. Okumoto was the audit committee chairman and a member of the compensation committee for Logic Vision, Inc., a publicly traded electronic design automation company. From 2007 to 2009 Mr. Okumoto was the chief financial officer of Advanced Micro-Fabrication Equipment, Inc., a global micro-fabrication equipment company. From 2003 to 2006 Mr. Okumoto was the chief financial officer of Photon Dynamics, Inc., a publicly held manufacturer of flat panel display test equipment. From 1998 to 2001 Mr. Okumoto was the chief executive officer of TMT, Inc., a manufacturer of test equipment for the global semiconductor industry, and the Vice-President and General Manager for the Analog, Linear, and RF test equipment division of the acquiring company, Credence Systems Corporation, a publicly traded manufacturer of test equipment for the global semiconductor industry. From 1993 to 1998 Mr. Okumoto was the executive vice president and chief financial officer of Credence Systems Corporation, where he completed that company’s initial public offering. From 1990 to 1993 Mr. Okumoto was the Corporate Controller at Novellus Systems, Inc., a publicly traded supplier of wafer fabrication equipment and services. From 1974 to 1990 Mr. Okumoto held finance and operations roles at such companies as: Fairchild Semiconductor Corporation, Measurex Corporation (Honeywell), Commodore Business Machines, Inc., Basys, Inc., and Digital Research Corporation. Mr. Okumoto also serves on the board of directors of Vantage Technology Corporation, a privately held micro-analytical metrology tool company. Mr. Okumoto received his Bachelor of Science in Business Administration with an emphasis in Accounting from San Jose State University and his Master of Arts in Communication and Leadership from Gonzaga University. Mr. Okumoto holds a Registered Financial Consultant designation: RFC®. Mr. Okumoto brings to our board of directors extensive business background in finance and accounting, general management, and business strategy as a public company chief financial officer and audit committee chairman, as a chief executive officer and division general manager, and practitioner and academic of business strategy.</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DAVID TOOLE. </w:t>
      </w:r>
      <w:r>
        <w:rPr>
          <w:rFonts w:ascii="Times New Roman" w:cs="Times New Roman" w:eastAsia="Times New Roman" w:hAnsi="Times New Roman"/>
          <w:sz w:val="18"/>
          <w:szCs w:val="18"/>
          <w:color w:val="auto"/>
        </w:rPr>
        <w:t>Mr. Toole has been an independent member of our board of directors since January 2016 and was appointed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has not previously been up for election at an annual meeting of shareholders. Mr. Toole brings over 35 years of experience as a technology, supply chain, digital media and video expert, and has been the Chief Executive Officer of MediaMobz, a private company that enables brands to increase their capacity to create video centric</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- 50-</w:t>
      </w:r>
    </w:p>
    <w:p>
      <w:pPr>
        <w:sectPr>
          <w:pgSz w:w="11900" w:h="16838" w:orient="portrait"/>
          <w:cols w:equalWidth="0" w:num="1">
            <w:col w:w="11420"/>
          </w:cols>
          <w:pgMar w:left="240" w:top="580" w:right="23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t>digital media that drives business results, since 2008. Mr. Toole is also currently the Chief Executive Officer of Outhink Media, an emerging media incubator, a position he has held since 2001. Prior to Outhink Media, Mr. Toole spent 21 years at GaSonics International, a semiconductor capital equipment company, where he worked in various positions, including as Chief Executive Officer from 1993 to 2001. As Chief Executive Officer at GaSonics, Mr. Toole led the company's initial public offering in 1994 and the sale of the company to Novellus Systems in 2001. Mr. Toole began his career at Advance Micro Devices, a manufacturer of early computer chips, where he was a production supervisor from 1976 to 1979. Mr. Toole received his Bachelor of Arts degree in Business from the University of California, Santa Barbara. Mr. Toole’s executive leadership experience, including as the Chief Executive Officer of a public company, and extensive digital media experience brings to our board of directors strong leadership and oversight as well as strategic leadership as our company leverages digital media to enhance our business initiatives.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was established by our board of directors in accordance with Section 3(a)(58)(A) of the Exchange Act. The current members of our audit committee are Messrs. Beindorff, Mauro and Okumoto, with Mr. Okumoto serving as chair. Our board of directors has determined that all three members of the audit committee qualify as “independent” under Nasdaq Rules. Our board of directors has also determined that each member of the audit committee meets the financial literacy and sophistication requirements set forth in the NASDAQ Rules and that Mr. Okumoto qualifies as “audit committee financial expert,” as that term is defined by SEC rules. Our board of directors made a qualitative assessment of Mr. Okumoto's level of knowledge and experience based on a number of factors, including his formal education, his past experience as a public company chief financial officer, and his experience reviewing and analyzing company financial statements as an investor and audit committee chair of a public company, and his other prior professional experience.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adopted the LifeVantage Corporation Code of Business Conduct and Ethics which applies to all our executive officers, employees and members of our board of directors. Our Code of Business Conduct and Ethics is designed to deter wrongdoing and to promote: (1) honest and ethical conduct, including the ethical handling of actual or apparent conflicts of interest between personal and professional relationships; (2) full, fair, accurate, timely, and understandable disclosure in reports and documents that we file with, or submit to, the SEC and in other public communications we make; (3) compliance with applicable governmental laws, rules and regulations; (4) the prompt internal reporting of violations of the code to an appropriate person or persons identified in the code; and (5) accountability for adherence to the code. A copy of our Code of Business Conduct and Code of Ethics is available on our website at http://investor.lifevantage.com/governance.cfm. In the event that an amendment to, or a waiver from, a provision of our Code of Business and Ethics that applies to any of our directors or executive officers is necessary, we intend to post such information on our website. Our website does not constitute part of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our common stock to report their ownership of our common stock and any changes in that ownership to the SEC. The SEC has established specific due dates for these reports, and we are required to report in this Annual Report on Form 10-K any failure to file by the specific due dates. To our knowledge, based solely on a review of the copies of such reports furnished to us and written representations that no other reports were required, during the fiscal year ended June 30, 2016, we believe that all such reports were filed on a timely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this section, we describe the material components of compensation that were paid or awarded to, or earned by, our “named executive officers” (our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in fiscal 2016, provide an overview of the information set forth below in the Summary Compensation Table and other compensation tables, and address actions taken regarding executive compensation after the end of fiscal 2016 that could affect a fair understanding of a NEO’s compensation during fiscal 2016.</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named executive officers for fiscal 2016 and their principal positions are: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- 51-</w:t>
      </w:r>
    </w:p>
    <w:p>
      <w:pPr>
        <w:sectPr>
          <w:pgSz w:w="11900" w:h="16838" w:orient="portrait"/>
          <w:cols w:equalWidth="0" w:num="1">
            <w:col w:w="11380"/>
          </w:cols>
          <w:pgMar w:left="240" w:top="580" w:right="279" w:bottom="1440" w:gutter="0" w:footer="0" w:header="0"/>
        </w:sectPr>
      </w:pPr>
    </w:p>
    <w:bookmarkStart w:id="51" w:name="page52"/>
    <w:bookmarkEnd w:id="51"/>
    <w:p>
      <w:pPr>
        <w:ind w:left="3180"/>
        <w:spacing w:after="0"/>
        <w:tabs>
          <w:tab w:leader="none" w:pos="8760" w:val="left"/>
        </w:tabs>
        <w:rPr>
          <w:sz w:val="20"/>
          <w:szCs w:val="20"/>
          <w:color w:val="auto"/>
        </w:rPr>
      </w:pPr>
      <w:r>
        <w:rPr>
          <w:rFonts w:ascii="Times New Roman" w:cs="Times New Roman" w:eastAsia="Times New Roman" w:hAnsi="Times New Roman"/>
          <w:sz w:val="17"/>
          <w:szCs w:val="17"/>
          <w:b w:val="1"/>
          <w:bCs w:val="1"/>
          <w:color w:val="auto"/>
        </w:rPr>
        <w:t>NEO</w:t>
      </w:r>
      <w:r>
        <w:rPr>
          <w:sz w:val="20"/>
          <w:szCs w:val="20"/>
          <w:color w:val="auto"/>
        </w:rPr>
        <w:tab/>
      </w:r>
      <w:r>
        <w:rPr>
          <w:rFonts w:ascii="Times New Roman" w:cs="Times New Roman" w:eastAsia="Times New Roman" w:hAnsi="Times New Roman"/>
          <w:sz w:val="17"/>
          <w:szCs w:val="17"/>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38" w:right="319" w:bottom="1440" w:gutter="0" w:footer="0" w:header="0"/>
        </w:sectPr>
      </w:pP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Darren Jensen</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 Jaggi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Michelle Oborn-Virchow</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Justin Rose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M. Urban</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David S. Colbert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Mr. Jaggi was appointed as our Chief Financial Officer effective August 24, 2015.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r>
        <w:rPr>
          <w:rFonts w:ascii="Times New Roman" w:cs="Times New Roman" w:eastAsia="Times New Roman" w:hAnsi="Times New Roman"/>
          <w:sz w:val="25"/>
          <w:szCs w:val="25"/>
          <w:color w:val="auto"/>
          <w:vertAlign w:val="superscript"/>
        </w:rPr>
        <w:t>(1)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of Human Resources</w:t>
      </w:r>
      <w:r>
        <w:rPr>
          <w:rFonts w:ascii="Times New Roman" w:cs="Times New Roman" w:eastAsia="Times New Roman" w:hAnsi="Times New Roman"/>
          <w:sz w:val="25"/>
          <w:szCs w:val="25"/>
          <w:color w:val="auto"/>
          <w:vertAlign w:val="superscript"/>
        </w:rPr>
        <w:t>(2)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Sales Officer</w:t>
      </w:r>
      <w:r>
        <w:rPr>
          <w:rFonts w:ascii="Times New Roman" w:cs="Times New Roman" w:eastAsia="Times New Roman" w:hAnsi="Times New Roman"/>
          <w:sz w:val="25"/>
          <w:szCs w:val="25"/>
          <w:color w:val="auto"/>
          <w:vertAlign w:val="superscript"/>
        </w:rPr>
        <w:t>(3)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Former Chief Financial Officer and Treasurer</w:t>
      </w:r>
      <w:r>
        <w:rPr>
          <w:rFonts w:ascii="Times New Roman" w:cs="Times New Roman" w:eastAsia="Times New Roman" w:hAnsi="Times New Roman"/>
          <w:sz w:val="24"/>
          <w:szCs w:val="24"/>
          <w:color w:val="auto"/>
          <w:vertAlign w:val="superscript"/>
        </w:rPr>
        <w:t>(4)</w:t>
      </w:r>
    </w:p>
    <w:p>
      <w:pPr>
        <w:spacing w:after="0" w:line="426" w:lineRule="exact"/>
        <w:rPr>
          <w:sz w:val="20"/>
          <w:szCs w:val="20"/>
          <w:color w:val="auto"/>
        </w:rPr>
      </w:pPr>
    </w:p>
    <w:p>
      <w:pPr>
        <w:sectPr>
          <w:pgSz w:w="11900" w:h="16838" w:orient="portrait"/>
          <w:cols w:equalWidth="0" w:num="2">
            <w:col w:w="6580" w:space="200"/>
            <w:col w:w="4560"/>
          </w:cols>
          <w:pgMar w:left="240" w:top="738" w:right="319" w:bottom="1440" w:gutter="0" w:footer="0" w:header="0"/>
          <w:type w:val="continuous"/>
        </w:sect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Oborn-Virchow was promoted to Sr. Vice President of Human Resources effective November 30, 2015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Rose was appointed as our Chief Sales Officer effective July 22, 2015.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Colbert's employment with the Company was terminated effective July 3,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is divided into three parts:</w:t>
      </w:r>
    </w:p>
    <w:p>
      <w:pPr>
        <w:spacing w:after="0" w:line="113" w:lineRule="exact"/>
        <w:rPr>
          <w:sz w:val="20"/>
          <w:szCs w:val="20"/>
          <w:color w:val="auto"/>
        </w:rPr>
      </w:pPr>
    </w:p>
    <w:p>
      <w:pPr>
        <w:ind w:left="660" w:right="48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 I-Compensation Principles and Processes</w:t>
      </w:r>
      <w:r>
        <w:rPr>
          <w:rFonts w:ascii="Times New Roman" w:cs="Times New Roman" w:eastAsia="Times New Roman" w:hAnsi="Times New Roman"/>
          <w:sz w:val="18"/>
          <w:szCs w:val="18"/>
          <w:color w:val="auto"/>
        </w:rPr>
        <w:t>. In this part we describe the important principles, processes and tools that help us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our NEOs.</w:t>
      </w:r>
    </w:p>
    <w:p>
      <w:pPr>
        <w:spacing w:after="0" w:line="46"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 II-Compensation Components</w:t>
      </w:r>
      <w:r>
        <w:rPr>
          <w:rFonts w:ascii="Times New Roman" w:cs="Times New Roman" w:eastAsia="Times New Roman" w:hAnsi="Times New Roman"/>
          <w:sz w:val="18"/>
          <w:szCs w:val="18"/>
          <w:color w:val="auto"/>
        </w:rPr>
        <w:t>. In this part we discuss the three material components of NEO compensation - base salary, annual and long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incentive opportunities - and actual compensation paid or awarded to, or earned by, our NEOs in fiscal 2016.</w:t>
      </w:r>
    </w:p>
    <w:p>
      <w:pPr>
        <w:spacing w:after="0" w:line="46"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 III-Other Matters</w:t>
      </w:r>
      <w:r>
        <w:rPr>
          <w:rFonts w:ascii="Times New Roman" w:cs="Times New Roman" w:eastAsia="Times New Roman" w:hAnsi="Times New Roman"/>
          <w:sz w:val="18"/>
          <w:szCs w:val="18"/>
          <w:color w:val="auto"/>
        </w:rPr>
        <w:t>. In this part we discuss other compensation practices that affect how we compensate our NEOs, including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certain corporate policies.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COMPENSATION PRINCIPLES AND PROCESSES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Principles and Objectives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be fair, reasonable and competitive and to attract, retain and motivate talented executives capable of achieving our business objective of creating long-term shareholder value. We actively seek to foster a pay-for-performance environment that encourages our executive officers to enhance shareholder value. To this end, we seek to establish a compensation program linked directly to the delivery of long-term returns to our shareholders, the achievement of short- and long-term strategic business objectives, individual performance, and the demonstration of competencies that are aligned with our culture and values.</w:t>
      </w:r>
    </w:p>
    <w:p>
      <w:pPr>
        <w:spacing w:after="0" w:line="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To ensure that our compensation programs support our business objectives, we observe several core compensation principles and objectives. We believe our executive compensation program should:</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distribution of gains between our NEOs and our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company and individual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appropriate balance between base salary and annual and long-term incentive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externally competitive and internally equitable;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us the flexibility to attract, retain and motivate talented executives.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compensation principles and objectives are sustained, in part, by our board of directors and the independent oversight of NEO compensation by its compensation committee. The compensation committee is responsible for overseeing our compensation policies, plans and programs, and reviewing and recommending to our board of directors the base salary, annual and long-term incentives, perquisites, severance arrangements and other related benefits paid to our directors and executive officers, including our NEOs.</w:t>
      </w:r>
    </w:p>
    <w:p>
      <w:pPr>
        <w:spacing w:after="0" w:line="7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authority and responsibility to review and recommend to the board of directors on an annual basis the corporate goals and objectives with respect to compensation for our Chief Executive Officer, or CEO. The compensation committee evaluates at least annually the performance of our CEO in light of these established goals and objectives. The compensation committee, based upon its evaluations, makes a recommendation regarding our CEO's annual compensation to the independent members of our board of directors for its approval. Our CEO is not present during any</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- 52-</w:t>
      </w:r>
    </w:p>
    <w:p>
      <w:pPr>
        <w:sectPr>
          <w:pgSz w:w="11900" w:h="16838" w:orient="portrait"/>
          <w:cols w:equalWidth="0" w:num="1">
            <w:col w:w="11340"/>
          </w:cols>
          <w:pgMar w:left="240" w:top="738" w:right="319" w:bottom="1440" w:gutter="0" w:footer="0" w:header="0"/>
          <w:type w:val="continuous"/>
        </w:sectPr>
      </w:pPr>
    </w:p>
    <w:bookmarkStart w:id="52" w:name="page53"/>
    <w:bookmarkEnd w:id="52"/>
    <w:p>
      <w:pPr>
        <w:ind w:right="200"/>
        <w:spacing w:after="0" w:line="282" w:lineRule="auto"/>
        <w:rPr>
          <w:sz w:val="20"/>
          <w:szCs w:val="20"/>
          <w:color w:val="auto"/>
        </w:rPr>
      </w:pPr>
      <w:r>
        <w:rPr>
          <w:rFonts w:ascii="Times New Roman" w:cs="Times New Roman" w:eastAsia="Times New Roman" w:hAnsi="Times New Roman"/>
          <w:sz w:val="18"/>
          <w:szCs w:val="18"/>
          <w:color w:val="auto"/>
        </w:rPr>
        <w:t>meeting of the compensation committee during which it deliberates upon or approves determinations of or recommendations regarding the determination of the compensation of our CEO.</w:t>
      </w:r>
    </w:p>
    <w:p>
      <w:pPr>
        <w:spacing w:after="0" w:line="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also has the authority and responsibility to review and recommend to our board of directors on an annual basis the evaluation process and compensation structure for our executive officers, including our NEOs, other than our CEO. The compensation committee evaluates the performance of these executive officers and reviews and approves or recommends to our board of directors for approval the compensation, including base salary and annual and long-term incentive compensation, for such executive officers. The compensation committee's recommendation in this regard is based, in part, on amounts proposed by our CEO.</w:t>
      </w:r>
    </w:p>
    <w:p>
      <w:pPr>
        <w:spacing w:after="0" w:line="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includes two directors who are “independent outside directors,” as defined under Section 162(m) of the Internal Revenue Code, and each member is independent under NASDAQ Rules. A complete description of the authority and responsibility of our compensation committee is set forth in its charter, which is available on our website at http://investor.lifevantage.com/governance.cfm and in print upon request. Our website does not constitute part of this Compensation Discussion and Analysis.</w:t>
      </w:r>
    </w:p>
    <w:p>
      <w:pPr>
        <w:spacing w:after="0" w:line="7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To assist it with fulfilling its responsibility for making NEO compensation decisions consistent with the principles and objectives discussed above, the compensation committee utilizes a variety of tools, as described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fiscal 2016, the compensation committee engaged Barney &amp; Barney as an independent compensation consultant. Specifically, Barney &amp; Barney was engaged to review and recommend refinements of our peer group of companies and assess, relative to our peer group, total compensation of our executives, compensation of our board of directors and to develop long-term incentive grant guidelines and strategies for all employees. The compensation committee has engaged Barney &amp; Barney since fiscal year 2011 to provide similar services.</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exclusive right to select, retain and terminate Barney &amp; Barney as well as to approve any fees, terms or other conditions of its compensation advisory services. Barney &amp; Barney and its lead compensation consultant report directly to the compensation committee, but when directed to do so by the compensation committee, work cooperatively with our executive officers to develop analyses and proposals for presentations to the compensation committee. The compensation committee reviews Barney &amp; Barney's performance on at least an annual basis and determines whether to continue that relationship.</w:t>
      </w:r>
    </w:p>
    <w:p>
      <w:pPr>
        <w:spacing w:after="0" w:line="76"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The compensation committee concluded for fiscal 2016 that Barney &amp; Barney is independent and that its work in advising the compensation committee does not raise any conflict of interest. In making such determination, the compensation committee considered, among other things, (i) the provision of other services to us by Barney &amp; Barney; (ii) the amount of fees received by Barney &amp; Barney from us, as a percentage of Barney &amp; Barney's total revenue; (iii)</w:t>
      </w:r>
    </w:p>
    <w:p>
      <w:pPr>
        <w:spacing w:after="0" w:line="2"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Barney &amp; Barney's policies and procedures that are designed to prevent conflicts of interest; (iv) any business or personal relationship of Barney &amp; Barney with members of the compensation committee; (v) any of our stock owned by Barney &amp; Barney; and (vi) any business or personal relationship of Barney &amp; Barney with our executive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Recommendations</w:t>
      </w:r>
    </w:p>
    <w:p>
      <w:pPr>
        <w:spacing w:after="0" w:line="11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the compensation committee relies upon our CEO for compensation recommendations for the NEOs other than himself. Our CEO and the compensation committee discuss our CEO's assessment of the NEOs and any other factors the CEO believes may be relevant for the compensation committee's consideration.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 Peer Group</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Prior to the start of fiscal year 2016, Barney &amp; Barney reviewed and made recommendations to the compensation committee regarding refinements to our peer group for market assessments for fiscal year 2016 (our “</w:t>
      </w:r>
      <w:r>
        <w:rPr>
          <w:rFonts w:ascii="Times New Roman" w:cs="Times New Roman" w:eastAsia="Times New Roman" w:hAnsi="Times New Roman"/>
          <w:sz w:val="18"/>
          <w:szCs w:val="18"/>
          <w:i w:val="1"/>
          <w:iCs w:val="1"/>
          <w:color w:val="auto"/>
        </w:rPr>
        <w:t>FY2016 Peer Group</w:t>
      </w:r>
      <w:r>
        <w:rPr>
          <w:rFonts w:ascii="Times New Roman" w:cs="Times New Roman" w:eastAsia="Times New Roman" w:hAnsi="Times New Roman"/>
          <w:sz w:val="18"/>
          <w:szCs w:val="18"/>
          <w:color w:val="auto"/>
        </w:rPr>
        <w:t>”) that adjusted the peer group (our “</w:t>
      </w:r>
      <w:r>
        <w:rPr>
          <w:rFonts w:ascii="Times New Roman" w:cs="Times New Roman" w:eastAsia="Times New Roman" w:hAnsi="Times New Roman"/>
          <w:sz w:val="18"/>
          <w:szCs w:val="18"/>
          <w:i w:val="1"/>
          <w:iCs w:val="1"/>
          <w:color w:val="auto"/>
        </w:rPr>
        <w:t>FY2015 Peer Group</w:t>
      </w:r>
      <w:r>
        <w:rPr>
          <w:rFonts w:ascii="Times New Roman" w:cs="Times New Roman" w:eastAsia="Times New Roman" w:hAnsi="Times New Roman"/>
          <w:sz w:val="18"/>
          <w:szCs w:val="18"/>
          <w:color w:val="auto"/>
        </w:rPr>
        <w:t>”) the compensation committee had used for our fiscal year 2015 compensation decisions. Barney &amp; Barney considered industry, company size and location as selection criteria in identifying appropriate peer companies for fiscal 2016. Our compensation committee uses the peer group to establish a framework for evaluating our NEO compensation practices. Based on recommendations made by Barney &amp; Barney, the compensation committee approved revisions to our previously selected peer group. Our FY2016 Peer Group consists of the following companies: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- 53-</w:t>
      </w:r>
    </w:p>
    <w:p>
      <w:pPr>
        <w:sectPr>
          <w:pgSz w:w="11900" w:h="16838" w:orient="portrait"/>
          <w:cols w:equalWidth="0" w:num="1">
            <w:col w:w="11420"/>
          </w:cols>
          <w:pgMar w:left="240" w:top="580" w:right="239" w:bottom="1440" w:gutter="0" w:footer="0" w:header="0"/>
        </w:sectPr>
      </w:pPr>
    </w:p>
    <w:bookmarkStart w:id="53" w:name="page54"/>
    <w:bookmarkEnd w:id="53"/>
    <w:tbl>
      <w:tblPr>
        <w:tblLayout w:type="fixed"/>
        <w:tblInd w:w="2680" w:type="dxa"/>
        <w:tblCellMar>
          <w:top w:w="0" w:type="dxa"/>
          <w:left w:w="0" w:type="dxa"/>
          <w:bottom w:w="0" w:type="dxa"/>
          <w:right w:w="0" w:type="dxa"/>
        </w:tblCellMar>
      </w:tblPr>
      <w:tr>
        <w:trPr>
          <w:trHeight w:val="234"/>
        </w:trPr>
        <w:tc>
          <w:tcPr>
            <w:tcW w:w="3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CVR Partners (UAN)</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Nutraceutical International (NATR)</w:t>
            </w:r>
          </w:p>
        </w:tc>
      </w:tr>
      <w:tr>
        <w:trPr>
          <w:trHeight w:val="270"/>
        </w:trPr>
        <w:tc>
          <w:tcPr>
            <w:tcW w:w="3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Depomed (DEPO)</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Omega Protein (OME)</w:t>
            </w:r>
          </w:p>
        </w:tc>
      </w:tr>
      <w:tr>
        <w:trPr>
          <w:trHeight w:val="270"/>
        </w:trPr>
        <w:tc>
          <w:tcPr>
            <w:tcW w:w="3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Gaiam (GAIA)</w:t>
            </w:r>
          </w:p>
        </w:tc>
        <w:tc>
          <w:tcPr>
            <w:tcW w:w="32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PetMed Express (PETS)</w:t>
            </w:r>
          </w:p>
        </w:tc>
      </w:tr>
      <w:tr>
        <w:trPr>
          <w:trHeight w:val="270"/>
        </w:trPr>
        <w:tc>
          <w:tcPr>
            <w:tcW w:w="3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Lifeway Foods (LWAY)</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Quidel (ODEL)</w:t>
            </w:r>
          </w:p>
        </w:tc>
      </w:tr>
      <w:tr>
        <w:trPr>
          <w:trHeight w:val="270"/>
        </w:trPr>
        <w:tc>
          <w:tcPr>
            <w:tcW w:w="3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Mannatech (MTEX)</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QuinStreet (QNST)</w:t>
            </w:r>
          </w:p>
        </w:tc>
      </w:tr>
      <w:tr>
        <w:trPr>
          <w:trHeight w:val="270"/>
        </w:trPr>
        <w:tc>
          <w:tcPr>
            <w:tcW w:w="3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Medifast (MED)</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Rentech Nitrogen (RNF)</w:t>
            </w:r>
          </w:p>
        </w:tc>
      </w:tr>
      <w:tr>
        <w:trPr>
          <w:trHeight w:val="270"/>
        </w:trPr>
        <w:tc>
          <w:tcPr>
            <w:tcW w:w="3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Meridian Bioscience (VIVO)</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Sagent Pharmaceuticals (SGNT)</w:t>
            </w:r>
          </w:p>
        </w:tc>
      </w:tr>
      <w:tr>
        <w:trPr>
          <w:trHeight w:val="270"/>
        </w:trPr>
        <w:tc>
          <w:tcPr>
            <w:tcW w:w="3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MGP Ingredients (MGPI)</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SciClone Pharmaceuticals (SCLN)</w:t>
            </w:r>
          </w:p>
        </w:tc>
      </w:tr>
      <w:tr>
        <w:trPr>
          <w:trHeight w:val="270"/>
        </w:trPr>
        <w:tc>
          <w:tcPr>
            <w:tcW w:w="3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MusclePharm (MSLP)</w:t>
            </w:r>
          </w:p>
        </w:tc>
        <w:tc>
          <w:tcPr>
            <w:tcW w:w="32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Spectrum Pharmaceuticals (SPPI)</w:t>
            </w:r>
          </w:p>
        </w:tc>
      </w:tr>
      <w:tr>
        <w:trPr>
          <w:trHeight w:val="270"/>
        </w:trPr>
        <w:tc>
          <w:tcPr>
            <w:tcW w:w="3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Natural Alternatives Int'l (NAII)</w:t>
            </w:r>
          </w:p>
        </w:tc>
        <w:tc>
          <w:tcPr>
            <w:tcW w:w="3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Sucampo Pharmaceuticals (SCMP)</w:t>
            </w:r>
          </w:p>
        </w:tc>
      </w:tr>
    </w:tbl>
    <w:p>
      <w:pPr>
        <w:spacing w:after="0" w:line="11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Because of the limited number of public companies in our industry that meet the recommended criteria for selecting our compensation peer group, the compensation committee includes selected companies in industries similar to our industry, including neutraceuticals, network marketing and life sciences. In determining our FY2016 Peer Group, our compensation committee narrowed two of the three factors used in determining the FY2015 Peer Group. While the peer group used for each fiscal year utilized a market capitalization factor of $1.8 billion or less, the compensation committee on advice of Barney &amp; Barney narrowed the total revenue factor from a range used for fiscal 2015 of $60 million to $600 million to a range of $70 million to $450 million for fiscal 2016, and also adjusted the factor relating to number of company employees from a range of 100 to 900 employees for fiscal 2015 to a range of 70 to 800 employees for fiscal 2016. As a result of these refinements in the peer group selection factors, some companies that had been included in our FY2015 Peer Group (Aceto Corporation, Acorda Therapeutics, Auxilium Pharmaceuticals, Genomic Health, Hi-Tech Pharmacal, Nutrisystem, The Medicines Company and Vitacost.com) were eliminated from our FY2016 Peer Group and the following companies were added: CVR Partners, Lifeway Foods, Medifast, Meridian Bioscience, MGP Ingredients, MusclePharm, Quidel, Rentech Nitrogen, Sagent Pharmaceuticals, SciClone Pharmaceuticals, Spectrum Pharmaceuticals and Sucampo Pharmaceuticals.</w:t>
      </w:r>
    </w:p>
    <w:p>
      <w:pPr>
        <w:spacing w:after="0" w:line="8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used data from our FY2016 Peer Group companies to help ensure that the compensation of NEOs was competitive and that its decisions were appropriate. The compensation committee generally believes that the base salary and total direct compensation of our NEOs should be set within a range of plus or minus 20% of the 50th percentile of each of the base salary and the total direct compensation of persons in reasonably similar positions at companies in our FY2016 Peer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Prior-Year Say-on-Pay Lookback</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At our fiscal 2016 Annual Meeting of Shareholders held in October 2015, our shareholders were provided an opportunity to cast an advisory vote on the compensation of our named executive officers, as described in the proxy statement for the fiscal 2016 Annual Meeting of Shareholders. Approximately 70% of shareholders’ votes were cast in favor of the compensation of our NEOs. Although the shareholder vote is purely advisory and non-binding, when designing our executive compensation program for fiscal 2016, the compensation committee considered, among other things, the results from the fiscal 2016 Annual Meeting of Shareholders and the significant shareholder support of our compensation arrangements for the NEOs and determined not to make any significant changes to the design of our executive compensation program for fiscal 2016.</w:t>
      </w:r>
    </w:p>
    <w:p>
      <w:pPr>
        <w:spacing w:after="0" w:line="80" w:lineRule="exact"/>
        <w:rPr>
          <w:sz w:val="20"/>
          <w:szCs w:val="20"/>
          <w:color w:val="auto"/>
        </w:rPr>
      </w:pPr>
    </w:p>
    <w:p>
      <w:pPr>
        <w:ind w:right="740" w:firstLine="324"/>
        <w:spacing w:after="0" w:line="266" w:lineRule="auto"/>
        <w:rPr>
          <w:sz w:val="20"/>
          <w:szCs w:val="20"/>
          <w:color w:val="auto"/>
        </w:rPr>
      </w:pPr>
      <w:r>
        <w:rPr>
          <w:rFonts w:ascii="Times New Roman" w:cs="Times New Roman" w:eastAsia="Times New Roman" w:hAnsi="Times New Roman"/>
          <w:sz w:val="18"/>
          <w:szCs w:val="18"/>
          <w:color w:val="auto"/>
        </w:rPr>
        <w:t>At our fiscal 2013 Annual Meeting of Shareholders held in November 2012, our shareholders voted in favor of holding an advisory vote on the compensation of our executive officers once every three years. As such, we do not intend to hold another advisory shareholder vote on our NEO compensation until our fiscal 2019 Annual Meeting of Shareholders.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Risk Analysis</w:t>
      </w:r>
    </w:p>
    <w:p>
      <w:pPr>
        <w:spacing w:after="0" w:line="11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annually reviews our executive compensation program, including our compensation-related risk profile, to ensure that our compensation-related risks are not likely to have a material adverse effect on our company. The compensation committee does not believe our executive compensation program encourages excessive or inappropriate risk taking. The base salary portion of compensation is designed to provide a steady income regardless of our stock price performance, so that our NEOs do not feel pressured to focus exclusively on stock price performance to the detriment of other important aspects of our business. Our long-term incentive awards have been structured to provide longer term incentives that correlate with total shareholder return. As a result, the compensation committee believes our executive compensation program strikes a balance between providing fixed compensation and appropriate long-term incentives, such that our NEOs are not encouraged to take unnecessary or excessive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COMPENSATION COMPONENTS</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three components of our executive compensation program are base salary, annual or short-term incentives and long-term incentives in the form of equity-based awards. While no specific formula is used to determine the allocation of a NEO's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- 54-</w:t>
      </w:r>
    </w:p>
    <w:p>
      <w:pPr>
        <w:sectPr>
          <w:pgSz w:w="11900" w:h="16838" w:orient="portrait"/>
          <w:cols w:equalWidth="0" w:num="1">
            <w:col w:w="11380"/>
          </w:cols>
          <w:pgMar w:left="240" w:top="742" w:right="279" w:bottom="1440" w:gutter="0" w:footer="0" w:header="0"/>
        </w:sectPr>
      </w:pPr>
    </w:p>
    <w:bookmarkStart w:id="54" w:name="page55"/>
    <w:bookmarkEnd w:id="54"/>
    <w:p>
      <w:pPr>
        <w:ind w:right="40"/>
        <w:spacing w:after="0" w:line="266" w:lineRule="auto"/>
        <w:rPr>
          <w:sz w:val="20"/>
          <w:szCs w:val="20"/>
          <w:color w:val="auto"/>
        </w:rPr>
      </w:pPr>
      <w:r>
        <w:rPr>
          <w:rFonts w:ascii="Times New Roman" w:cs="Times New Roman" w:eastAsia="Times New Roman" w:hAnsi="Times New Roman"/>
          <w:sz w:val="18"/>
          <w:szCs w:val="18"/>
          <w:color w:val="auto"/>
        </w:rPr>
        <w:t>total annual compensation among these three components, we strive to achieve market competitive pay in each compensation component. An undergirding principle in each of the compensation components is that the compensation of our executives should correlate with their level of performance. In addition, the compensation committee has not established any formal policies or guidelines for allocating compensation between cash and non-cash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right="620" w:firstLine="324"/>
        <w:spacing w:after="0" w:line="313" w:lineRule="auto"/>
        <w:rPr>
          <w:sz w:val="20"/>
          <w:szCs w:val="20"/>
          <w:color w:val="auto"/>
        </w:rPr>
      </w:pPr>
      <w:r>
        <w:rPr>
          <w:rFonts w:ascii="Times New Roman" w:cs="Times New Roman" w:eastAsia="Times New Roman" w:hAnsi="Times New Roman"/>
          <w:sz w:val="17"/>
          <w:szCs w:val="17"/>
          <w:color w:val="auto"/>
        </w:rPr>
        <w:t>Base salary is the primary fixed component of our executive compensation program. We believe that base salaries should provide a fixed level of competitive compensation to help us attract and retain strong executive talent and compensate executives for services rendered during the fiscal year.</w:t>
      </w:r>
    </w:p>
    <w:p>
      <w:pPr>
        <w:spacing w:after="0" w:line="3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newly hired executives, the compensation committee determines base salary on a case-by-case basis by evaluating a number of factors, including the executive's qualifications and experience, the competitive recruiting environment for his or her services, the executive's anticipated role and responsibilities with our company, the executive's past compensation history, internal pay equity, and comparisons to market data regarding compensation levels for comparable executives of other companies in our peer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Our CEO's Base Salary is Determined</w:t>
      </w:r>
    </w:p>
    <w:p>
      <w:pPr>
        <w:spacing w:after="0" w:line="1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compensation committee's charter, each year the compensation committee reviews and recommends to the board of directors the corporate goals and objectives with respect to our CEO's compensation, including base salary. The compensation committee evaluates the CEO's performance in light of the established corporate goals and objectives and whether our CEO's compensation falls within a range of plus or minus 20% of the 50th percentile of the compensation of other CEOs in our peer group. Based on such evaluation, the compensation committee recommends our CEO's compensation, including base salary, to the independent members of the board of directors for their approval. The independent members of the board of directors collectively have the discretion to set our CEO's base salary. Our CEO is not present during the portion of any meeting of the compensation committee or board of directors during which it votes on or deliberates regarding the compensation of our CEO.</w:t>
      </w:r>
    </w:p>
    <w:p>
      <w:pPr>
        <w:spacing w:after="0" w:line="81" w:lineRule="exact"/>
        <w:rPr>
          <w:sz w:val="20"/>
          <w:szCs w:val="20"/>
          <w:color w:val="auto"/>
        </w:rPr>
      </w:pPr>
    </w:p>
    <w:p>
      <w:pPr>
        <w:ind w:right="200" w:firstLine="324"/>
        <w:spacing w:after="0" w:line="233" w:lineRule="auto"/>
        <w:rPr>
          <w:sz w:val="20"/>
          <w:szCs w:val="20"/>
          <w:color w:val="auto"/>
        </w:rPr>
      </w:pPr>
      <w:r>
        <w:rPr>
          <w:rFonts w:ascii="Times New Roman" w:cs="Times New Roman" w:eastAsia="Times New Roman" w:hAnsi="Times New Roman"/>
          <w:sz w:val="18"/>
          <w:szCs w:val="18"/>
          <w:color w:val="auto"/>
        </w:rPr>
        <w:t>Our CEO, Mr. Jensen, joined the Company in May 2015 at which time his salary was determined based upon a review of his base salary in his prior position and a review of the salaries of CEOs in our fiscal 2015 peer group. Mr. Jensen’s initial salary was set at $550,000 and fell within a range of plus or minus 20% of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base salaries of other CEOs in our fiscal 2015 peer group. The total compensation paid to Mr. Jensen is consistent with our compensation philosophy.</w:t>
      </w:r>
    </w:p>
    <w:p>
      <w:pPr>
        <w:spacing w:after="0" w:line="9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Mr. Jensen joined our company less than two months prior to the beginning of fiscal 2016 and the compensation committee determined that Mr. Jensen’s salary would remain unchanged for fiscal 2016.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Our Other NEOs' Base Salaries are Determined</w:t>
      </w:r>
    </w:p>
    <w:p>
      <w:pPr>
        <w:spacing w:after="0" w:line="11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At least annually, the compensation committee reviews our performance evaluation process and compensation structure for our executive officers, including our NEOs. Among other things, the compensation committee compares the compensation of our executive officers against data derived from an analysis of similar executive officers in our peer group and reviews each executive officer's performance with our CEO. Following its evaluation and review, the compensation committee recommends to our board of directors the base salary of each executive officer, other than our CEO. In making such recommendations, the compensation committee considers proposals and recommendations of our CEO. The base salaries of our executive officers, including our NEOs other than our CEO, are established by our board of directors after taking into account the recommendation of the compensation committee. See “</w:t>
      </w:r>
      <w:r>
        <w:rPr>
          <w:rFonts w:ascii="Times New Roman" w:cs="Times New Roman" w:eastAsia="Times New Roman" w:hAnsi="Times New Roman"/>
          <w:sz w:val="18"/>
          <w:szCs w:val="18"/>
          <w:i w:val="1"/>
          <w:iCs w:val="1"/>
          <w:color w:val="auto"/>
        </w:rPr>
        <w:t>PART I. COMPENSATION PRINCIPLES AND PROCESSES-Compensation Committee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Similar to the base salary of our CEO, we believe that the base salary of our other NEOs should be competitive with the base salary ranges for persons in similar positions at the companies within our peer group and should generally be set within a range of plus or minus 20% of the 50th percentile of the base salaries of such persons.</w:t>
      </w:r>
    </w:p>
    <w:p>
      <w:pPr>
        <w:spacing w:after="0" w:line="6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November 2015, the independent members of our board of directors and the compensation committee jointly approved a promotion for Ms. Oborn-Virchow to Senior Vice President of Human Resources. In March 2016 her base salary was increased from $225,000 to $253,000 commensurate with the position to which she was promoted. The increased base salary for Ms. Oborn-Virchow was within the range of plus or minus 20% of the 50th percentile of the base salaries of persons in reasonably similar human resources positions at companies in our FY2016 Peer Group. None of our other NEOs received increases in their annual base salaries during fiscal 2016.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2017 Base Salary</w:t>
      </w:r>
    </w:p>
    <w:p>
      <w:pPr>
        <w:spacing w:after="0" w:line="11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June 2016, the independent members of our board of directors, upon the recommendation of the compensation committee, decided not to increase the annual base salary payable to any of our NEOs for fiscal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- 55-</w:t>
      </w:r>
    </w:p>
    <w:p>
      <w:pPr>
        <w:sectPr>
          <w:pgSz w:w="11900" w:h="16838" w:orient="portrait"/>
          <w:cols w:equalWidth="0" w:num="1">
            <w:col w:w="11400"/>
          </w:cols>
          <w:pgMar w:left="240" w:top="580" w:right="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Fiscal 2016 Short-Term Plans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second material component of our NEOs' compensation is the opportunity to earn cash incentives under one of our annual incentive plans. Generally, we believe annual incentives should:</w:t>
      </w:r>
    </w:p>
    <w:p>
      <w:pPr>
        <w:spacing w:after="0" w:line="5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NEOs for business and individual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effective short-term performance while balancing long-term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significant portion of total compensation opportunity that is at risk;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externally competitive and internally equitable.</w:t>
      </w:r>
    </w:p>
    <w:p>
      <w:pPr>
        <w:spacing w:after="0" w:line="1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Effective July 27, 2015, our board of directors, upon the recommendation of the compensation committee, adopted a fiscal 2016 annual incentive plan (the “</w:t>
      </w:r>
      <w:r>
        <w:rPr>
          <w:rFonts w:ascii="Times New Roman" w:cs="Times New Roman" w:eastAsia="Times New Roman" w:hAnsi="Times New Roman"/>
          <w:sz w:val="18"/>
          <w:szCs w:val="18"/>
          <w:i w:val="1"/>
          <w:iCs w:val="1"/>
          <w:color w:val="auto"/>
        </w:rPr>
        <w:t>FY2016 Annual Incentive Plan</w:t>
      </w:r>
      <w:r>
        <w:rPr>
          <w:rFonts w:ascii="Times New Roman" w:cs="Times New Roman" w:eastAsia="Times New Roman" w:hAnsi="Times New Roman"/>
          <w:sz w:val="18"/>
          <w:szCs w:val="18"/>
          <w:color w:val="auto"/>
        </w:rPr>
        <w:t>”). The FY 2016 Annual Incentive Plan is intended to reward certain full time employees who were selected by the compensation committee for participation in the plan for their performance in meeting corporate goals. Darren Jensen, our CEO, and Robert Urban, our Chief Operating Officer, Mark Jaggi, our Chief Financial Officer and Michelle Oborn-Virchow, our Senior Vice President of Human Resources are each eligible to participate under the FY 2016 Annual Incentive Plan based on achievement of specified performance goals. In addition, Justin Rose, our Chief Sales Officer, participated during fiscal 2016 in a sales incentive plan.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FY2016 Annual Incentive Plan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FY2016 Annual Incentive Plan, our CEO and our other eligible NEOs were eligible to receive bonuses if we met certain corporate goals. The corporate goals relate to our revenue and our earnings per share. The amount of any bonuses payable with respect to the achievement of corporate goals will vary depending upon the percent of the respective goals that are achieved. The target bonus opportunity for our CEO for fiscal 2016 was 82% of his base salary, or $451,000, and his maximum potential bonus amount was 150% of his base salary, or $825,000. However, because Mr. Jensen received a signing bonus of $451,000 in connection with his appointment to CEO in 2015, his bonus potential for fiscal 2016 is required to be reduced by the amount of the signing bonus. As a result, he was eligible to receive a bonus under the FY2016 Annual Incentive Plan only if performance under the FY2016 Annual Incentive Plan exceeded the relevant “Target” performance objectives and, in such case, he would be eligible to receive only the portion of his bonus that exceeded $451,000. The target bonus amount for Robert Urban for fiscal 2016 was 50% of his base salary, or $185,000, and his maximum bonus amount was 62.5% of his base salary, or $231,250. The target bonus amount for each of the other NEOs ranges from 35% to 50% of the officer’s base salary and the maximum bonus amounts range from 52.5% to 75% of base salary.</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fiscal 2016, both an adjusted diluted earnings per share target (“Adjusted EPS”), comprising 70% of target, and a revenue target, comprising of 30% of target, applied to awards under our FY 2016 Annual Incentive Plan. The applicable revenue target was $195 million and the applicable Adjusted EPS target was $0.49 per share. The Adjusted EPS target, which was a metric developed solely for use under this plan, was adjusted at the discretion of the Compensation Committee to exclude several one-time extraordinary expenses incurred during the fiscal year. As a result, actual achievement of the Adjusted EPS target for fiscal 2016 was $0.60, or 51.4% of target, and we achieved $206.5 million revenue for the fiscal year, or 81.5% of target. Accordingly, the combined achievement (as a percentage of target) and the payout level under the FY2016 Annual Incentive Plan was 60.46%. At that achievement level, Mr. Jensen was not entitled to receive any Annual Incentive Plan bonus payment for fiscal 2016, and our other NEOs participating in this plan were entitled to receive the following amounts: Mr. Jaggi, $90,060; Ms. Oborn-Virchow, $45,889; and Mr. Urban, $111,851. However, none of our NEOs participating in the FY2016 Annual Incentive Plan will receive his or her fiscal 2016 bonus as a consequence of the disruption to our business of the independent investigation conducted by the audit committee after the end of fiscal 2016. Mr. Rose does not participate in this plan.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Sales Incentive Plan</w:t>
      </w:r>
    </w:p>
    <w:p>
      <w:pPr>
        <w:spacing w:after="0" w:line="14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fiscal 2016, Mr. Rose participated in our sales incentive plan. Under this plan, Mr. Rose is entitled to earn a cash bonus, paid quarterly, on the basis of revenues, distributor enrollment and distributor retention rate achieved during the fiscal year. Mr. Rose was paid $83,338 for the first three quarters of fiscal 2016 and, based upon our actual revenues, he was entitled to a bonus payment of $14,171 for the fourth quarter under this plan. However, as a consequence of the disruption to our business of the investigation conducted by the audit committee after the end of fiscal 2016, he will not receive payment of his forth quarter fiscal 2016 sales bonus.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2017 Annual Incentive Plan</w:t>
      </w:r>
    </w:p>
    <w:p>
      <w:pPr>
        <w:spacing w:after="0" w:line="146"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May 2016, upon the recommendation of our compensation committee, our board of directors adopted an annual incentive plan for fiscal 2017 (the “FY2017 Annual Incentive Plan”). Our NEOs who remain current employees of the Company are eligible to participate in the FY2017 Annual Incentive Plan, with their target bonus opportunity remaining the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- 56-</w:t>
      </w:r>
    </w:p>
    <w:p>
      <w:pPr>
        <w:sectPr>
          <w:pgSz w:w="11900" w:h="16838" w:orient="portrait"/>
          <w:cols w:equalWidth="0" w:num="1">
            <w:col w:w="11420"/>
          </w:cols>
          <w:pgMar w:left="240" w:top="576" w:right="239" w:bottom="1440" w:gutter="0" w:footer="0" w:header="0"/>
        </w:sectPr>
      </w:pPr>
    </w:p>
    <w:bookmarkStart w:id="56" w:name="page57"/>
    <w:bookmarkEnd w:id="56"/>
    <w:p>
      <w:pPr>
        <w:ind w:right="180"/>
        <w:spacing w:after="0" w:line="266" w:lineRule="auto"/>
        <w:rPr>
          <w:sz w:val="20"/>
          <w:szCs w:val="20"/>
          <w:color w:val="auto"/>
        </w:rPr>
      </w:pPr>
      <w:r>
        <w:rPr>
          <w:rFonts w:ascii="Times New Roman" w:cs="Times New Roman" w:eastAsia="Times New Roman" w:hAnsi="Times New Roman"/>
          <w:sz w:val="18"/>
          <w:szCs w:val="18"/>
          <w:color w:val="auto"/>
        </w:rPr>
        <w:t>same as under the FY2016 Annual Incentive Plan. Our NEOs will receive bonuses under our FY2017 Annual Incentive Plan if we meet certain corporate goals related to revenue and our earnings per share. Mr. Rose will also participate in our FY2017 Annual Incentive Plan and will not participate in our sales incentive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48" w:lineRule="exact"/>
        <w:rPr>
          <w:sz w:val="20"/>
          <w:szCs w:val="20"/>
          <w:color w:val="auto"/>
        </w:rPr>
      </w:pPr>
    </w:p>
    <w:p>
      <w:pPr>
        <w:ind w:right="20" w:firstLine="324"/>
        <w:spacing w:after="0" w:line="313" w:lineRule="auto"/>
        <w:rPr>
          <w:sz w:val="20"/>
          <w:szCs w:val="20"/>
          <w:color w:val="auto"/>
        </w:rPr>
      </w:pPr>
      <w:r>
        <w:rPr>
          <w:rFonts w:ascii="Times New Roman" w:cs="Times New Roman" w:eastAsia="Times New Roman" w:hAnsi="Times New Roman"/>
          <w:sz w:val="17"/>
          <w:szCs w:val="17"/>
          <w:color w:val="auto"/>
        </w:rPr>
        <w:t>The third material component of our NEOs' compensation includes awards granted under our 2010 Long Term Incentive Plan, or 2010 LTIP. Historically, we have not granted long-term incentive awards as compensation for past performance, and instead believe that long-term incentive awards should:</w:t>
      </w:r>
    </w:p>
    <w:p>
      <w:pPr>
        <w:spacing w:after="0" w:line="5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NEO's incentives directly with shareholder value;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performance that increases long-term shareholder return;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retention tool;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NEOs a meaningful equity stake in our business.</w:t>
      </w:r>
    </w:p>
    <w:p>
      <w:pPr>
        <w:spacing w:after="0" w:line="144"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The awards granted under our 2010 LTIP to our NEOs historically have consisted of stock options or restricted stock awards, in each case subject to time-based vesting. We have not granted stock options to NEOs since 2012. In January 2015, our board of directors began granting performance-based restricted stock units (“PRSUs”) to our NEOs under the 2010 LTIP which include equally weighted absolute and relative total shareholder return (“TSR”) targets over three consecutive calendar-year (2015-2017) periods, as described below. In determining the number of PRSUs to award to our NEOs, the compensation committee and our board of directors takes into account our compensation philosophy that the overall compensation of our NEOs should be set within a range of plus or minus 20% of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overall compensation of persons in reasonably similar positions at companies in our peer group. The compensation committee approves all 2010 LTIP awards to our employees, except for 2010 LTIP awards to our executive officers, including our NEOs. 2010 LTIP awards to our executive officers, including our NEOs, are made by our board of directors after considering recommendations made by the compensation committee.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2015 PRSUs</w:t>
      </w:r>
    </w:p>
    <w:p>
      <w:pPr>
        <w:spacing w:after="0" w:line="14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the absolute TSR objective that applied to our PRSUs granted in January 2015 (“2015 PRSUs”), target-level performance could be achieved if we maintained our stock price through the end of the calendar year 2015 performance period. A 150% increase in our stock price over the year would result in payment of that half of the bonus at the 200% level and a 10% decrease in our stock price would result in payment at the 50% level, with zero paid if our stock price decreased by more than 10% and straight line interpolation used to determine the over- and under-achievement percentage. For the relative TSR objective, target-level performance could be achieved if our stock performance during the 2015 calendar year equaled the TSR achieved by the Vanguard Russell 2000 exchange traded fund. If our stock price outperformed the index fund by 125% or more for the year, that half of the bonus would pay out at the 200% level and if our stock price underperformed the index fund by 25%, that half of the bonus would pay out at the 50% level, with zero paid if our stock underperformed the index fund by more than 25% and straight line interpolation used to determine the over- and under-achievement percentage. Actual achievement was 29.5% for the absolute TSR portion of the bonus and 48.89% for the relative TSR portion, resulting in a combined achievement level under the 2015 PRSUs for the one-third of the award that vested based upon the calendar year 2015 performance period of 78.39%. See the “</w:t>
      </w:r>
      <w:r>
        <w:rPr>
          <w:rFonts w:ascii="Times New Roman" w:cs="Times New Roman" w:eastAsia="Times New Roman" w:hAnsi="Times New Roman"/>
          <w:sz w:val="18"/>
          <w:szCs w:val="18"/>
          <w:i w:val="1"/>
          <w:iCs w:val="1"/>
          <w:color w:val="auto"/>
        </w:rPr>
        <w:t>Options Exercised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Vested</w:t>
      </w:r>
      <w:r>
        <w:rPr>
          <w:rFonts w:ascii="Times New Roman" w:cs="Times New Roman" w:eastAsia="Times New Roman" w:hAnsi="Times New Roman"/>
          <w:sz w:val="18"/>
          <w:szCs w:val="18"/>
          <w:color w:val="auto"/>
        </w:rPr>
        <w:t>” table below for details regarding the number of shares Mr. Urban and Ms. Oborn-Virchow received with respect to their 2015 PRSUs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performance period.</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2016 PRSUs</w:t>
      </w:r>
    </w:p>
    <w:p>
      <w:pPr>
        <w:spacing w:after="0" w:line="14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January 2016, our board of directors granted additional PRSUs (the "2016 PRSUs") to our NEOs and certain other officers who continued to serve in such position at that time. As originally granted, the FY 2016 PRSUs were substantially similar to the 2015 PRSUs in that the underlying shares can be earned upon achievement of the applicable TSR-related objectives, with one-third of the PRSUs eligible to vest in each of calendar years 2016, 2017 and 2018; however, the 2016 PRSUs were amended in March 2016 (with a deemed cancellation of the original grant and a new grant, for the same number of PRSUs) so that the FY 2016 PRSUs are now subject to one three-year performance period ending at the end of the 2018 calendar year. The compensation committee considered this amendment to the original terms of the 2016 PRSUs appropriate in order to better reflect our long-term performance achievements and more closely align our long-term compensation awards with the long-term interest of our shareholders.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details regarding the 2016 PRSUs granted to our NEOs in fiscal 2016 are detailed in the “</w:t>
      </w:r>
      <w:r>
        <w:rPr>
          <w:rFonts w:ascii="Times New Roman" w:cs="Times New Roman" w:eastAsia="Times New Roman" w:hAnsi="Times New Roman"/>
          <w:sz w:val="18"/>
          <w:szCs w:val="18"/>
          <w:i w:val="1"/>
          <w:iCs w:val="1"/>
          <w:color w:val="auto"/>
        </w:rPr>
        <w:t>Grants of Plan-Based Awards</w:t>
      </w:r>
      <w:r>
        <w:rPr>
          <w:rFonts w:ascii="Times New Roman" w:cs="Times New Roman" w:eastAsia="Times New Roman" w:hAnsi="Times New Roman"/>
          <w:sz w:val="18"/>
          <w:szCs w:val="18"/>
          <w:color w:val="auto"/>
        </w:rPr>
        <w:t>” table below.</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w:t>
      </w:r>
    </w:p>
    <w:p>
      <w:pPr>
        <w:sectPr>
          <w:pgSz w:w="11900" w:h="16838" w:orient="portrait"/>
          <w:cols w:equalWidth="0" w:num="1">
            <w:col w:w="11400"/>
          </w:cols>
          <w:pgMar w:left="240" w:top="580" w:right="25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u w:val="single" w:color="auto"/>
          <w:color w:val="auto"/>
        </w:rPr>
        <w:t>2016 Restricted Stock Awards</w:t>
      </w:r>
    </w:p>
    <w:p>
      <w:pPr>
        <w:spacing w:after="0" w:line="14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first quarter of fiscal 2016, our board of directors approved the grant of restricted stock awards to each of Messrs. Jaggi and Rose effective upon the start dates of their employment with us. These awards vest based upon the holder’s continuing service, with one-third of the award vesting on each of the first three anniversaries of their respective employment start dates. These awards are detailed in the “</w:t>
      </w:r>
      <w:r>
        <w:rPr>
          <w:rFonts w:ascii="Times New Roman" w:cs="Times New Roman" w:eastAsia="Times New Roman" w:hAnsi="Times New Roman"/>
          <w:sz w:val="18"/>
          <w:szCs w:val="18"/>
          <w:i w:val="1"/>
          <w:iCs w:val="1"/>
          <w:color w:val="auto"/>
        </w:rPr>
        <w:t>Grants of Plan-Based Awards</w:t>
      </w:r>
      <w:r>
        <w:rPr>
          <w:rFonts w:ascii="Times New Roman" w:cs="Times New Roman" w:eastAsia="Times New Roman" w:hAnsi="Times New Roman"/>
          <w:sz w:val="18"/>
          <w:szCs w:val="18"/>
          <w:color w:val="auto"/>
        </w:rPr>
        <w:t>” table below.</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Fiscal 2017 Equity Awards</w:t>
      </w:r>
    </w:p>
    <w:p>
      <w:pPr>
        <w:spacing w:after="0" w:line="144"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Form 10-K, the only awards granted to any of NEOs during fiscal 2017 are the product line awards granted to Mr. Jensen in September 2016, as detailed below under “PART III, OTHER MATTERS - Darren Jensen Compensation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Components</w:t>
      </w:r>
    </w:p>
    <w:p>
      <w:pPr>
        <w:spacing w:after="0" w:line="14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a general matter, subject only to limited exceptions, we do not provide perquisites or benefits to our NEOs on a basis that is different from other eligible employees, and such perquisites or benefits represent only a minor portion of the total compensation of the NEOs. We maintain health, dental, long term and short term disability, and vision insurance plans for the benefit of all eligible employees, including our NEOs. We pay for basic coverage under each of these benefit plans and any premium in excess of the basic coverage is paid by the employee. We also provide wealth accumulation benefits to eligible employees, including our NEOs, in the form of a 401(k) savings plan. These benefit programs are offered on the same basis to all employees, including our NEOs.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currently have employment agreements with each of Messrs. Jensen and Urban. Messrs. Jaggi and Rose and Ms. Oborn-Virchow are entitled to certain severance benefits under key executive benefits package contracts which are described below in “</w:t>
      </w:r>
      <w:r>
        <w:rPr>
          <w:rFonts w:ascii="Times New Roman" w:cs="Times New Roman" w:eastAsia="Times New Roman" w:hAnsi="Times New Roman"/>
          <w:sz w:val="18"/>
          <w:szCs w:val="18"/>
          <w:i w:val="1"/>
          <w:iCs w:val="1"/>
          <w:color w:val="auto"/>
        </w:rPr>
        <w:t>Severance or Change-in-Control Agreements</w:t>
      </w:r>
      <w:r>
        <w:rPr>
          <w:rFonts w:ascii="Times New Roman" w:cs="Times New Roman" w:eastAsia="Times New Roman" w:hAnsi="Times New Roman"/>
          <w:sz w:val="18"/>
          <w:szCs w:val="18"/>
          <w:color w:val="auto"/>
        </w:rPr>
        <w:t>.” Below is a summary of the material terms of the employment agreements we have in place with each of Messrs. Jensen and Urban. During fiscal 2016, no changes were made to any of these agreements with our NEOs.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Darren Jensen Compensation Arrangements</w:t>
      </w:r>
    </w:p>
    <w:p>
      <w:pPr>
        <w:spacing w:after="0" w:line="121" w:lineRule="exact"/>
        <w:rPr>
          <w:sz w:val="20"/>
          <w:szCs w:val="20"/>
          <w:color w:val="auto"/>
        </w:rPr>
      </w:pPr>
    </w:p>
    <w:p>
      <w:pPr>
        <w:ind w:right="60" w:firstLine="324"/>
        <w:spacing w:after="0" w:line="236" w:lineRule="auto"/>
        <w:rPr>
          <w:sz w:val="20"/>
          <w:szCs w:val="20"/>
          <w:color w:val="auto"/>
        </w:rPr>
      </w:pPr>
      <w:r>
        <w:rPr>
          <w:rFonts w:ascii="Times New Roman" w:cs="Times New Roman" w:eastAsia="Times New Roman" w:hAnsi="Times New Roman"/>
          <w:sz w:val="18"/>
          <w:szCs w:val="18"/>
          <w:color w:val="auto"/>
        </w:rPr>
        <w:t>On April 26, 2015, we entered into an employment agreement with Mr. Jensen pursuant to which he was appointed as our President and Chief Executive Officer effective May 18, 2015. Mr. Jensen’s employment agreement will expire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the close of the first fiscal year in which our net revenue exceeds $500 million, unless earlier terminated in accordance with the terms of the employment agreement or extended by mutual agreement of the parties. Our board of directors approved after the end of fiscal 2016 an amendment to Mr. Jensen’s employment agreement, the material provisions of which amendment are described under “</w:t>
      </w:r>
      <w:r>
        <w:rPr>
          <w:rFonts w:ascii="Times New Roman" w:cs="Times New Roman" w:eastAsia="Times New Roman" w:hAnsi="Times New Roman"/>
          <w:sz w:val="18"/>
          <w:szCs w:val="18"/>
          <w:i w:val="1"/>
          <w:iCs w:val="1"/>
          <w:color w:val="auto"/>
        </w:rPr>
        <w:t>Amendment to Mr. Jensen’s Employment Agreement</w:t>
      </w:r>
      <w:r>
        <w:rPr>
          <w:rFonts w:ascii="Times New Roman" w:cs="Times New Roman" w:eastAsia="Times New Roman" w:hAnsi="Times New Roman"/>
          <w:sz w:val="18"/>
          <w:szCs w:val="18"/>
          <w:color w:val="auto"/>
        </w:rPr>
        <w:t>” below.</w:t>
      </w:r>
    </w:p>
    <w:p>
      <w:pPr>
        <w:spacing w:after="0" w:line="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Pursuant to Mr. Jensen’s employment agreement, we agreed to pay Mr. Jensen an initial annual base salary of $550,000. Mr. Jensen's salary remained the same for fiscal 2016.</w:t>
      </w:r>
    </w:p>
    <w:p>
      <w:pPr>
        <w:spacing w:after="0" w:line="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Bonus Awards; Annual Incentives</w:t>
      </w:r>
      <w:r>
        <w:rPr>
          <w:rFonts w:ascii="Times New Roman" w:cs="Times New Roman" w:eastAsia="Times New Roman" w:hAnsi="Times New Roman"/>
          <w:sz w:val="18"/>
          <w:szCs w:val="18"/>
          <w:color w:val="auto"/>
        </w:rPr>
        <w:t>. Mr. Jensen’s target bonus percentage was set at 82% of his annual base salary, with a maximum bonus percentage of 150% of his annual base salary. Mr. Jensen’s annual incentive arrangements for fiscal 2016, as set forth in his employment agreement, are as described above in “</w:t>
      </w:r>
      <w:r>
        <w:rPr>
          <w:rFonts w:ascii="Times New Roman" w:cs="Times New Roman" w:eastAsia="Times New Roman" w:hAnsi="Times New Roman"/>
          <w:sz w:val="18"/>
          <w:szCs w:val="18"/>
          <w:i w:val="1"/>
          <w:iCs w:val="1"/>
          <w:color w:val="auto"/>
        </w:rPr>
        <w:t>Annual Incentive Plan</w:t>
      </w:r>
      <w:r>
        <w:rPr>
          <w:rFonts w:ascii="Times New Roman" w:cs="Times New Roman" w:eastAsia="Times New Roman" w:hAnsi="Times New Roman"/>
          <w:sz w:val="18"/>
          <w:szCs w:val="18"/>
          <w:color w:val="auto"/>
        </w:rPr>
        <w:t>.” In addition, under his original employment agreement, Mr. Jensen was entitled to earn for each fiscal year beginning with fiscal 2016 and ending at the end of the fiscal year during which we first achieve annual revenue of at least $500 million, the following additional cash bonus amounts:</w:t>
      </w:r>
    </w:p>
    <w:p>
      <w:pPr>
        <w:spacing w:after="0" w:line="76"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incentive payment for incremental annual revenue from sales of Protandim over prior year revenue for such product in an amount equal to 3% of the positive difference between total net revenue from sales of Protandim for the most recently completed fiscal year relative to the prior fiscal year; and</w:t>
      </w:r>
    </w:p>
    <w:p>
      <w:pPr>
        <w:spacing w:after="0" w:line="68"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incentive payment for incremental annual revenue from sales of TrueScience Skin Care Regimen products over prior year revenue for such products in an amount equal to 2% of the positive difference between total net revenue from sales of TrueScience Skin Care Regimen for the most recently completed fiscal year relative to the prior fiscal year.</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above two bonus awards, in September 2016 our compensation committee approved the grant of a third product line-based bonus award to Mr. Jensen. Under this new award, Mr. Jensen is eligible to earn an incentive payment for incremental revenue from sales of PhysIQ for the period that begins on December 1, 2016 and ends on June 30, 2017 over revenue for that product line earned during the period that began on December 1, 2015 and ended on June 30, 2016 in an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- 58-</w:t>
      </w:r>
    </w:p>
    <w:p>
      <w:pPr>
        <w:sectPr>
          <w:pgSz w:w="11900" w:h="16838" w:orient="portrait"/>
          <w:cols w:equalWidth="0" w:num="1">
            <w:col w:w="11400"/>
          </w:cols>
          <w:pgMar w:left="240" w:top="580" w:right="259" w:bottom="1440" w:gutter="0" w:footer="0" w:header="0"/>
        </w:sectPr>
      </w:pPr>
    </w:p>
    <w:bookmarkStart w:id="58" w:name="page59"/>
    <w:bookmarkEnd w:id="58"/>
    <w:p>
      <w:pPr>
        <w:ind w:right="260"/>
        <w:spacing w:after="0" w:line="282" w:lineRule="auto"/>
        <w:rPr>
          <w:sz w:val="20"/>
          <w:szCs w:val="20"/>
          <w:color w:val="auto"/>
        </w:rPr>
      </w:pPr>
      <w:r>
        <w:rPr>
          <w:rFonts w:ascii="Times New Roman" w:cs="Times New Roman" w:eastAsia="Times New Roman" w:hAnsi="Times New Roman"/>
          <w:sz w:val="18"/>
          <w:szCs w:val="18"/>
          <w:color w:val="auto"/>
        </w:rPr>
        <w:t>amount equal to 2% of the positive difference between total net revenue from sales of this product line for the applicable fiscal year 2017 period relative to the prior-year applicable period.</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each of the three above product line-based awards, if our overall gross profit margin for a completed fiscal year falls below the overall gross profit margin for the prior year, then the annual incentive payments described above relating to such year shall be reduced by twenty-five percent (25%) for each ten percent (10%) reduction in overall gross profit margin (with straight line interpolation applied to any decline in overall gross margin of other than ten percent (10%)).</w:t>
      </w:r>
    </w:p>
    <w:p>
      <w:pPr>
        <w:spacing w:after="0" w:line="72"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For fiscal 2016, based upon sales of each product line, Mr. Jensen earned $98,600 with respect to the Nrf2 component of the Protandim product line award and was not entitled to any amount under the TrueScience product line award. For fiscal 2016, Mr. Jensen voluntarily waived payment of the Nrf1 component of the Protandim product line award in the amount of $95,882 as a consequence of the disruption to our business of the independent review conducted by the audit committee after the end of fiscal 2016.</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his original employment agreement, Mr. Jensen was also eligible to earn through the end of the fiscal year during which the Company first achieves annual revenue of at least $500 million the following additional amounts:</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cash bonus of $300,000 when our annual net revenue exceeds $300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cash bonus of $400,000 when our annual net revenue exceeds $400 million; and</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cash bonus of $500,000 when our annual net revenue exceeds $500 million (each of $300 million, $400 million and $500 million, a “Revenue Milestone”).</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If two (or more) annual Revenue Milestones are first achieved during a single fiscal year, Mr. Jensen will be paid the sum of the bonus amounts that relate to each Revenue Milestone achieved during such year. If, following achievement of a Revenue Milestone, our annual revenue for a subsequent fiscal year is less than the previously achieved Revenue Milestone, the next Revenue Milestone is voided and no bonus will be paid for achievement of such next Revenue Milestone.</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On May 18, 2015, Mr. Jensen was granted a restricted stock award under the 2010 LTIP for 142,858 shares of our common stock. The restricted stock award will vest in full on the third anniversary of his employment start date, subject to his continued employment through such date. Pursuant to the terms of his employment agreement and as described above in “Long-Term Incentive Plan,” Mr. Jensen also received a grant of PRSUs under the 2010 LTIP in January 2016.</w:t>
      </w:r>
    </w:p>
    <w:p>
      <w:pPr>
        <w:spacing w:after="0" w:line="7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Pursuant to the employment agreement, we agreed to pay Mr. Jensen’s expenses to relocate his household and family from the Orlando, Florida area to the Salt Lake City, Utah area. Additionally, while the employment agreement remains in effect, we will also pay up to $20,000 annually to cover costs incurred by Mr. Jensen for professional assistance with respect to personal financial and tax planning and compliance.</w:t>
      </w:r>
    </w:p>
    <w:p>
      <w:pPr>
        <w:spacing w:after="0" w:line="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Mr. Jensen's employment with us is at-will and either he or we can terminate his employment at any time and for any reason or for no reason. If we terminate Mr. Jensen's employment without “cause” or if he resigns for “good reason,” which includes customary triggers, he will be asked to execute and deliver to us a separation agreement that will provide, among other things, a release of all claims against us and a covenant not to sue us. So long as Mr. Jensen executes and does not revoke the separation agreement, and he remains in full compliance with its terms, then in addition to the Accrued Pay, he will be entitled to payments equal in the aggregate to six (6) months of his then annualized base salary. The salary continuation payments referred to in the preceding sentence will be paid in substantially equal monthly installments over a 12 month period following the date of termination of employment.</w:t>
      </w:r>
    </w:p>
    <w:p>
      <w:pPr>
        <w:spacing w:after="0" w:line="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within 12 months after the occurrence of an event constituting a change in control, Mr. Jensen's employment terminates without cause or if Mr. Jensen resigns for good reason, then we will pay him severance payments equal to 12 months of his annual base salary, paid as described in the paragraph above, and unless otherwise provided in the applicable option agreement or award agreement, all restricted stock awards and other equity-based awards granted to Mr. Jensen will be entitled to receive full service-based vesting credit and deemed attainment at target of all performance-based vesting milestones as of the date of the change in control, the performance period with respect to all PRSUs shall be deemed to have ended as of the date of the change in control, and the performance over such shortened performance period shall be measured as of such date.</w:t>
      </w:r>
    </w:p>
    <w:p>
      <w:pPr>
        <w:spacing w:after="0" w:line="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Amendment to Mr. Jensen’s Employment Agreement</w:t>
      </w:r>
      <w:r>
        <w:rPr>
          <w:rFonts w:ascii="Times New Roman" w:cs="Times New Roman" w:eastAsia="Times New Roman" w:hAnsi="Times New Roman"/>
          <w:sz w:val="18"/>
          <w:szCs w:val="18"/>
          <w:color w:val="auto"/>
        </w:rPr>
        <w:t>. Our board of directors and compensation committee approved the amendment and restatement of Mr. Jensen’s employment agreement on December 6, 2016. Under this amendment, among other changes, Mr. Jensen waived his rights to the forms of cash incentive awards provided for in the original agreement and the Company replaced these awards with three product-line annual incentive awards substantially similar to the three product-line annual incentive awards described above, and a Revenue Milestone award, also substantially similar to the one described above. Each of these four new cash incentive awards are effective beginning in fiscal year 2018 and will continue in effect until the end of the fiscal year during which the Company first achieves annual revenue of at least $500 million.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- 59-</w:t>
      </w:r>
    </w:p>
    <w:p>
      <w:pPr>
        <w:sectPr>
          <w:pgSz w:w="11900" w:h="16838" w:orient="portrait"/>
          <w:cols w:equalWidth="0" w:num="1">
            <w:col w:w="11420"/>
          </w:cols>
          <w:pgMar w:left="240" w:top="580"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Robert M. Urban Compensation Arrangements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May 23, 2012, we entered into an employment agreement with Mr. Urban pursuant to which he was appointed our Chief Operating Officer effective May 29, 2012.</w:t>
      </w:r>
    </w:p>
    <w:p>
      <w:pPr>
        <w:spacing w:after="0" w:line="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Pursuant to Mr. Urban's employment agreement, we agreed to pay him an annual base salary of $345,000. Our board of directors, based on the recommendation of the compensation committee and our CEO, approved an increase to Mr. Urban's annual base salary from $345,000 to $370,000 effective July 1, 2013. Mr. Urban’s salary remained at that same level through fiscal 2016.</w:t>
      </w:r>
    </w:p>
    <w:p>
      <w:pPr>
        <w:spacing w:after="0" w:line="6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Annual Incentives</w:t>
      </w:r>
      <w:r>
        <w:rPr>
          <w:rFonts w:ascii="Times New Roman" w:cs="Times New Roman" w:eastAsia="Times New Roman" w:hAnsi="Times New Roman"/>
          <w:sz w:val="18"/>
          <w:szCs w:val="18"/>
          <w:color w:val="auto"/>
        </w:rPr>
        <w:t>. Mr. Urban is eligible for an annual cash performance incentive bonus based on the achievement of performance objectives that were determined by our CEO. See “</w:t>
      </w:r>
      <w:r>
        <w:rPr>
          <w:rFonts w:ascii="Times New Roman" w:cs="Times New Roman" w:eastAsia="Times New Roman" w:hAnsi="Times New Roman"/>
          <w:sz w:val="18"/>
          <w:szCs w:val="18"/>
          <w:i w:val="1"/>
          <w:iCs w:val="1"/>
          <w:color w:val="auto"/>
        </w:rPr>
        <w:t>PART II. COMPENSATION COMPONENTS-Annual Incentive Plan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Mr. Urban's employment with us is at-will and either he or we can terminate his employment at any time and for any reason or for no reason. If we terminate Mr. Urban's employment without “cause,” he will be asked to execute and deliver to us a separation agreement that will provide, among other things, a release of all claims against us and a covenant not to sue us. So long as Mr. Urban executes and does not revoke the separation agreement, and he remains in full compliance with its terms, then he will be entitled to payments equal in the aggregate to his then annualized base salary. The salary continuation payments referred to in the preceding sentence will be paid in substantially equal monthly installments over the 12 month period following the date of termination of employment.</w:t>
      </w:r>
    </w:p>
    <w:p>
      <w:pPr>
        <w:spacing w:after="0" w:line="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within 12 months after the occurrence of an event constituting a change in control, Mr. Urban's employment terminates for any reason other than for cause, disability, death, presumed death or voluntary termination without “good reason,” or if Mr. Urban resigns for good reason, then we will pay him the payments and benefits described in the paragraph above as if his employment was terminated without cause, and unless otherwise provided in the applicable option agreement or award agreement, all stock options and other stock-based awards granted to Mr. Urban will immediately accelerate and become exercisable or non-forfeitable as of the date of the change in control, and he will be entitled to any other rights and benefits with respect to stock-related awards, to the extent and upon the terms provided in the stock option or incentive plan or any agreement or other instrument under which such options or awards were granted.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or Change-in-Control Agreements</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Messrs. Jensen and Urban are eligible to receive contractually-provided severance and change-in-control benefits under the terms of their respective employment agreements. Additionally, Messrs. Jaggi and Rose and Ms. Oborn-Virchow are eligible to receive severance benefits pursuant to the terms of their key executive benefit package agreements.</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key executive benefit package agreements with Messrs. Jaggi and Rose and Ms. Oborn-Virchow provide that their employment with us is at-will and either the NEO or the Company can terminate the NEO’s employment at any time and for any reason or for no reason, in each case subject to the terms and provisions of the key executive benefit package agreement. These agreements provided that, if we terminate their employment without cause, the NEO will be asked to execute and deliver to us a separation agreement that will provide, among other things, a release of all claims against us and a covenant not to sue us. So long as the NEO executes and does not revoke the separation agreement, and remains in full compliance with its terms, he or she will be entitled to payments equal in the aggregate to six months of his then annualized base salary, in the case of Messrs. Jaggi and Rose, and 12 months of her then annualized base salary in the case of Ms. Oborn-Virchow. These severance payments will be paid in substantially equal monthly installments over the six month period or 12 month period, as applicable, following the date of termination of employment.</w:t>
      </w:r>
    </w:p>
    <w:p>
      <w:pPr>
        <w:spacing w:after="0" w:line="7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The contractually-provided severance benefits under the terms of their respective employment agreements and key benefit package agreements are intended to provide compensation to the applicable NEO while he or she searches for new employment after his or her employment with us is terminated without cause or for good reason. We believe that providing severance protection for these NEOs upon their termination of employment under these circumstances is necessary in the competitive marketplace for talented executives. We believe that the amounts of these payments and benefits and the periods of time during which they would be provided are fair and reasonable. The agreements governing the 2010 LTIP awards granted to our NEOs also generally provide for some or all of the unvested shares underlying equity awards granted thereunder to vest immediately when certain events occur, including a change in control, described below under “</w:t>
      </w:r>
      <w:r>
        <w:rPr>
          <w:rFonts w:ascii="Times New Roman" w:cs="Times New Roman" w:eastAsia="Times New Roman" w:hAnsi="Times New Roman"/>
          <w:sz w:val="17"/>
          <w:szCs w:val="17"/>
          <w:i w:val="1"/>
          <w:iCs w:val="1"/>
          <w:color w:val="auto"/>
        </w:rPr>
        <w:t>SUMMARY COMPENSATION TABLE-2010 Long Term Incentive Plan</w:t>
      </w:r>
      <w:r>
        <w:rPr>
          <w:rFonts w:ascii="Times New Roman" w:cs="Times New Roman" w:eastAsia="Times New Roman" w:hAnsi="Times New Roman"/>
          <w:sz w:val="17"/>
          <w:szCs w:val="17"/>
          <w:color w:val="auto"/>
        </w:rPr>
        <w:t>.” For further details of the potential amounts that a NEO may receive in connection with a change-in-control transaction see the “</w:t>
      </w:r>
      <w:r>
        <w:rPr>
          <w:rFonts w:ascii="Times New Roman" w:cs="Times New Roman" w:eastAsia="Times New Roman" w:hAnsi="Times New Roman"/>
          <w:sz w:val="17"/>
          <w:szCs w:val="17"/>
          <w:i w:val="1"/>
          <w:iCs w:val="1"/>
          <w:color w:val="auto"/>
        </w:rPr>
        <w:t>Potential Payments Upon Termination or Change-in-Control</w:t>
      </w:r>
      <w:r>
        <w:rPr>
          <w:rFonts w:ascii="Times New Roman" w:cs="Times New Roman" w:eastAsia="Times New Roman" w:hAnsi="Times New Roman"/>
          <w:sz w:val="17"/>
          <w:szCs w:val="17"/>
          <w:color w:val="auto"/>
        </w:rPr>
        <w:t>” table.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Ownership Policy</w:t>
      </w:r>
    </w:p>
    <w:p>
      <w:pPr>
        <w:spacing w:after="0" w:line="121"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Our equity ownership policy, which we adopted in June 2013, requires certain of our executive officers, including our NEOs, to own a minimum number of shares of our common stock. Our equity ownership policy requires (i) our Chief Executive Officer to hold a number of shares of our common stock having a value equal to or greater than six times his annual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w:t>
      </w:r>
    </w:p>
    <w:p>
      <w:pPr>
        <w:sectPr>
          <w:pgSz w:w="11900" w:h="16838" w:orient="portrait"/>
          <w:cols w:equalWidth="0" w:num="1">
            <w:col w:w="11420"/>
          </w:cols>
          <w:pgMar w:left="240" w:top="576" w:right="239" w:bottom="1440" w:gutter="0" w:footer="0" w:header="0"/>
        </w:sectPr>
      </w:pPr>
    </w:p>
    <w:bookmarkStart w:id="60" w:name="page61"/>
    <w:bookmarkEnd w:id="60"/>
    <w:p>
      <w:pPr>
        <w:ind w:right="140"/>
        <w:spacing w:after="0" w:line="276" w:lineRule="auto"/>
        <w:rPr>
          <w:sz w:val="20"/>
          <w:szCs w:val="20"/>
          <w:color w:val="auto"/>
        </w:rPr>
      </w:pPr>
      <w:r>
        <w:rPr>
          <w:rFonts w:ascii="Times New Roman" w:cs="Times New Roman" w:eastAsia="Times New Roman" w:hAnsi="Times New Roman"/>
          <w:sz w:val="17"/>
          <w:szCs w:val="17"/>
          <w:color w:val="auto"/>
        </w:rPr>
        <w:t>base salary, (ii) each of our officers who has been designated by our board of directors as an “officer” within the meaning of Rule 16a-1 of the Securities Exchange Act of 1934, to hold a number of shares of our common stock having a value equal to or greater than three times his or her annual base salary, and</w:t>
      </w:r>
    </w:p>
    <w:p>
      <w:pPr>
        <w:spacing w:after="0" w:line="1" w:lineRule="exact"/>
        <w:rPr>
          <w:sz w:val="20"/>
          <w:szCs w:val="20"/>
          <w:color w:val="auto"/>
        </w:rPr>
      </w:pPr>
    </w:p>
    <w:p>
      <w:pPr>
        <w:ind w:right="20" w:firstLine="8"/>
        <w:spacing w:after="0" w:line="251"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executive officer designated by our CEO to be subject to the equity ownership policy to hold a number of shares of our common stock having a value equal to or greater than two times his or her annual base salary. Such ownership targets will be measured each year on the date of our board of directors meeting held on the date of, or next following the date of, our annual meeting of shareholders. Each employee subject to our equity ownership policy has five years from the time he or she becomes subject to the equity ownership policy to meet his or her required level of equity ownership. Until such time as each employee subject to our equity ownership policy obtains the ownership targets, such employee is required to retain direct ownership of at least fifty percent of the shares of our common stock he or she receives as a result of the exercise, vesting or payment of equity awards. If an employee subject to our equity ownership policy does not achieve his or her ownership target as of the end of his or her buy-in period, then he or she is required to retain direct ownership of all of the shares of our common stock he or she receives as a result of the exercise, vesting or payment of equity awards until his or her ownership target is achieved. The compensation committee has full power and authority to administer and interpret our equity ownership policy and may grant exceptions based on economic hardship or other showing of good cause.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 fiscal 2016, while the compensation committee generally considered the financial accounting and tax implications of its executive compensation decisions, neither element was a material consideration in the compensation awarded to our NEOs during such fiscal year.</w:t>
      </w:r>
    </w:p>
    <w:p>
      <w:pPr>
        <w:spacing w:after="0" w:line="5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of our NEOs for the fiscal years ended June 30, 2016, 2015 and 2014. However, information for fiscal 2015 and fiscal 2014 is not provided if a NEO first became a NEO for fiscal 2016 and information for fiscal 2014 is not provided if a NEO first became a NEO for fiscal 2015. The primary components of each NEO's compensation are also described in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above.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40" w:type="dxa"/>
            <w:vAlign w:val="bottom"/>
          </w:tcPr>
          <w:p>
            <w:pPr>
              <w:spacing w:after="0"/>
              <w:rPr>
                <w:sz w:val="16"/>
                <w:szCs w:val="16"/>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Non-equity Plan</w:t>
            </w:r>
          </w:p>
        </w:tc>
        <w:tc>
          <w:tcPr>
            <w:tcW w:w="400" w:type="dxa"/>
            <w:vAlign w:val="bottom"/>
          </w:tcPr>
          <w:p>
            <w:pPr>
              <w:spacing w:after="0"/>
              <w:rPr>
                <w:sz w:val="16"/>
                <w:szCs w:val="16"/>
                <w:color w:val="auto"/>
              </w:rPr>
            </w:pPr>
          </w:p>
        </w:tc>
        <w:tc>
          <w:tcPr>
            <w:tcW w:w="13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4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9"/>
        </w:trPr>
        <w:tc>
          <w:tcPr>
            <w:tcW w:w="2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360" w:type="dxa"/>
            <w:vAlign w:val="bottom"/>
          </w:tcPr>
          <w:p>
            <w:pPr>
              <w:spacing w:after="0"/>
              <w:rPr>
                <w:sz w:val="3"/>
                <w:szCs w:val="3"/>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200"/>
        </w:trPr>
        <w:tc>
          <w:tcPr>
            <w:tcW w:w="278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231"/>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34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Darren J. Jensen, </w:t>
            </w:r>
            <w:r>
              <w:rPr>
                <w:rFonts w:ascii="Times New Roman" w:cs="Times New Roman" w:eastAsia="Times New Roman" w:hAnsi="Times New Roman"/>
                <w:sz w:val="14"/>
                <w:szCs w:val="14"/>
                <w:i w:val="1"/>
                <w:iCs w:val="1"/>
                <w:color w:val="auto"/>
              </w:rPr>
              <w:t>President</w:t>
            </w:r>
          </w:p>
        </w:tc>
        <w:tc>
          <w:tcPr>
            <w:tcW w:w="9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550,000</w:t>
            </w:r>
          </w:p>
        </w:tc>
        <w:tc>
          <w:tcPr>
            <w:tcW w:w="36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2,031,840</w:t>
            </w:r>
          </w:p>
        </w:tc>
        <w:tc>
          <w:tcPr>
            <w:tcW w:w="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20,988</w:t>
            </w:r>
          </w:p>
        </w:tc>
        <w:tc>
          <w:tcPr>
            <w:tcW w:w="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2,602,828</w:t>
            </w:r>
          </w:p>
        </w:tc>
        <w:tc>
          <w:tcPr>
            <w:tcW w:w="0" w:type="dxa"/>
            <w:vAlign w:val="bottom"/>
          </w:tcPr>
          <w:p>
            <w:pPr>
              <w:spacing w:after="0"/>
              <w:rPr>
                <w:sz w:val="1"/>
                <w:szCs w:val="1"/>
                <w:color w:val="auto"/>
              </w:rPr>
            </w:pPr>
          </w:p>
        </w:tc>
      </w:tr>
      <w:tr>
        <w:trPr>
          <w:trHeight w:val="265"/>
        </w:trPr>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 xml:space="preserve">and Chief Executive Officer </w:t>
            </w:r>
            <w:r>
              <w:rPr>
                <w:rFonts w:ascii="Times New Roman" w:cs="Times New Roman" w:eastAsia="Times New Roman" w:hAnsi="Times New Roman"/>
                <w:sz w:val="8"/>
                <w:szCs w:val="8"/>
                <w:color w:val="auto"/>
              </w:rPr>
              <w:t>(2)</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68,750</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451,000</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9"/>
                <w:szCs w:val="9"/>
                <w:color w:val="auto"/>
              </w:rPr>
              <w:t>(5)</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630,000</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2,414</w:t>
            </w: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1,152,164</w:t>
            </w:r>
          </w:p>
        </w:tc>
        <w:tc>
          <w:tcPr>
            <w:tcW w:w="0" w:type="dxa"/>
            <w:vAlign w:val="bottom"/>
          </w:tcPr>
          <w:p>
            <w:pPr>
              <w:spacing w:after="0"/>
              <w:rPr>
                <w:sz w:val="1"/>
                <w:szCs w:val="1"/>
                <w:color w:val="auto"/>
              </w:rPr>
            </w:pPr>
          </w:p>
        </w:tc>
      </w:tr>
      <w:tr>
        <w:trPr>
          <w:trHeight w:val="275"/>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Mark Jaggi, </w:t>
            </w:r>
            <w:r>
              <w:rPr>
                <w:rFonts w:ascii="Times New Roman" w:cs="Times New Roman" w:eastAsia="Times New Roman" w:hAnsi="Times New Roman"/>
                <w:sz w:val="14"/>
                <w:szCs w:val="14"/>
                <w:i w:val="1"/>
                <w:iCs w:val="1"/>
                <w:color w:val="auto"/>
              </w:rPr>
              <w:t>Chief Financial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color w:val="auto"/>
              </w:rPr>
              <w:t>(6)</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294,688</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(8)</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695,961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990,649</w:t>
            </w:r>
          </w:p>
        </w:tc>
        <w:tc>
          <w:tcPr>
            <w:tcW w:w="0" w:type="dxa"/>
            <w:vAlign w:val="bottom"/>
          </w:tcPr>
          <w:p>
            <w:pPr>
              <w:spacing w:after="0"/>
              <w:rPr>
                <w:sz w:val="1"/>
                <w:szCs w:val="1"/>
                <w:color w:val="auto"/>
              </w:rPr>
            </w:pPr>
          </w:p>
        </w:tc>
      </w:tr>
      <w:tr>
        <w:trPr>
          <w:trHeight w:val="265"/>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Robert M. Urban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Chief</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370,000</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610,880</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(9)</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26,514</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1,007,394</w:t>
            </w:r>
          </w:p>
        </w:tc>
        <w:tc>
          <w:tcPr>
            <w:tcW w:w="0" w:type="dxa"/>
            <w:vAlign w:val="bottom"/>
          </w:tcPr>
          <w:p>
            <w:pPr>
              <w:spacing w:after="0"/>
              <w:rPr>
                <w:sz w:val="1"/>
                <w:szCs w:val="1"/>
                <w:color w:val="auto"/>
              </w:rPr>
            </w:pPr>
          </w:p>
        </w:tc>
      </w:tr>
      <w:tr>
        <w:trPr>
          <w:trHeight w:val="275"/>
        </w:trPr>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Operating Officer</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370,000</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308,000</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678,000</w:t>
            </w:r>
          </w:p>
        </w:tc>
        <w:tc>
          <w:tcPr>
            <w:tcW w:w="0" w:type="dxa"/>
            <w:vAlign w:val="bottom"/>
          </w:tcPr>
          <w:p>
            <w:pPr>
              <w:spacing w:after="0"/>
              <w:rPr>
                <w:sz w:val="1"/>
                <w:szCs w:val="1"/>
                <w:color w:val="auto"/>
              </w:rPr>
            </w:pPr>
          </w:p>
        </w:tc>
      </w:tr>
      <w:tr>
        <w:trPr>
          <w:trHeight w:val="265"/>
        </w:trPr>
        <w:tc>
          <w:tcPr>
            <w:tcW w:w="2780" w:type="dxa"/>
            <w:vAlign w:val="bottom"/>
          </w:tcPr>
          <w:p>
            <w:pPr>
              <w:spacing w:after="0"/>
              <w:rPr>
                <w:sz w:val="23"/>
                <w:szCs w:val="23"/>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370,000</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370,000</w:t>
            </w:r>
          </w:p>
        </w:tc>
        <w:tc>
          <w:tcPr>
            <w:tcW w:w="0" w:type="dxa"/>
            <w:vAlign w:val="bottom"/>
          </w:tcPr>
          <w:p>
            <w:pPr>
              <w:spacing w:after="0"/>
              <w:rPr>
                <w:sz w:val="1"/>
                <w:szCs w:val="1"/>
                <w:color w:val="auto"/>
              </w:rPr>
            </w:pPr>
          </w:p>
        </w:tc>
      </w:tr>
      <w:tr>
        <w:trPr>
          <w:trHeight w:val="275"/>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Justin Rose, </w:t>
            </w:r>
            <w:r>
              <w:rPr>
                <w:rFonts w:ascii="Times New Roman" w:cs="Times New Roman" w:eastAsia="Times New Roman" w:hAnsi="Times New Roman"/>
                <w:sz w:val="14"/>
                <w:szCs w:val="14"/>
                <w:i w:val="1"/>
                <w:iCs w:val="1"/>
                <w:color w:val="auto"/>
              </w:rPr>
              <w:t>Chief Sales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color w:val="auto"/>
              </w:rPr>
              <w:t>(11)</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323,436</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(12)</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676,281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83,338</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(14)</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(15)</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1,010,042</w:t>
            </w:r>
          </w:p>
        </w:tc>
        <w:tc>
          <w:tcPr>
            <w:tcW w:w="0" w:type="dxa"/>
            <w:vAlign w:val="bottom"/>
          </w:tcPr>
          <w:p>
            <w:pPr>
              <w:spacing w:after="0"/>
              <w:rPr>
                <w:sz w:val="1"/>
                <w:szCs w:val="1"/>
                <w:color w:val="auto"/>
              </w:rPr>
            </w:pPr>
          </w:p>
        </w:tc>
      </w:tr>
      <w:tr>
        <w:trPr>
          <w:trHeight w:val="265"/>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Michelle Oborn-Virchow</w:t>
            </w:r>
            <w:r>
              <w:rPr>
                <w:rFonts w:ascii="Times New Roman" w:cs="Times New Roman" w:eastAsia="Times New Roman" w:hAnsi="Times New Roman"/>
                <w:sz w:val="14"/>
                <w:szCs w:val="14"/>
                <w:i w:val="1"/>
                <w:iCs w:val="1"/>
                <w:color w:val="auto"/>
              </w:rPr>
              <w:t>, Senior Vice</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234,667</w:t>
            </w:r>
          </w:p>
        </w:tc>
        <w:tc>
          <w:tcPr>
            <w:tcW w:w="360" w:type="dxa"/>
            <w:vAlign w:val="bottom"/>
          </w:tcPr>
          <w:p>
            <w:pPr>
              <w:ind w:left="40"/>
              <w:spacing w:after="0"/>
              <w:rPr>
                <w:sz w:val="20"/>
                <w:szCs w:val="20"/>
                <w:color w:val="auto"/>
              </w:rPr>
            </w:pPr>
            <w:r>
              <w:rPr>
                <w:rFonts w:ascii="Times New Roman" w:cs="Times New Roman" w:eastAsia="Times New Roman" w:hAnsi="Times New Roman"/>
                <w:sz w:val="9"/>
                <w:szCs w:val="9"/>
                <w:color w:val="auto"/>
              </w:rPr>
              <w:t>(16)</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385,120</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(17)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7,425</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(18)</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627,212</w:t>
            </w:r>
          </w:p>
        </w:tc>
        <w:tc>
          <w:tcPr>
            <w:tcW w:w="0" w:type="dxa"/>
            <w:vAlign w:val="bottom"/>
          </w:tcPr>
          <w:p>
            <w:pPr>
              <w:spacing w:after="0"/>
              <w:rPr>
                <w:sz w:val="1"/>
                <w:szCs w:val="1"/>
                <w:color w:val="auto"/>
              </w:rPr>
            </w:pPr>
          </w:p>
        </w:tc>
      </w:tr>
      <w:tr>
        <w:trPr>
          <w:trHeight w:val="275"/>
        </w:trPr>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President of Human Resources</w:t>
            </w:r>
            <w:r>
              <w:rPr>
                <w:rFonts w:ascii="Times New Roman" w:cs="Times New Roman" w:eastAsia="Times New Roman" w:hAnsi="Times New Roman"/>
                <w:sz w:val="8"/>
                <w:szCs w:val="8"/>
                <w:color w:val="auto"/>
              </w:rPr>
              <w:t>(16)</w:t>
            </w: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David S. Colbert</w:t>
            </w:r>
            <w:r>
              <w:rPr>
                <w:rFonts w:ascii="Times New Roman" w:cs="Times New Roman" w:eastAsia="Times New Roman" w:hAnsi="Times New Roman"/>
                <w:sz w:val="14"/>
                <w:szCs w:val="14"/>
                <w:i w:val="1"/>
                <w:iCs w:val="1"/>
                <w:color w:val="auto"/>
              </w:rPr>
              <w:t>, former Chief</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3,750</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325,000</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(20)</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328,750</w:t>
            </w:r>
          </w:p>
        </w:tc>
        <w:tc>
          <w:tcPr>
            <w:tcW w:w="0" w:type="dxa"/>
            <w:vAlign w:val="bottom"/>
          </w:tcPr>
          <w:p>
            <w:pPr>
              <w:spacing w:after="0"/>
              <w:rPr>
                <w:sz w:val="1"/>
                <w:szCs w:val="1"/>
                <w:color w:val="auto"/>
              </w:rPr>
            </w:pPr>
          </w:p>
        </w:tc>
      </w:tr>
      <w:tr>
        <w:trPr>
          <w:trHeight w:val="275"/>
        </w:trPr>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 xml:space="preserve">Financial Officer </w:t>
            </w:r>
            <w:r>
              <w:rPr>
                <w:rFonts w:ascii="Times New Roman" w:cs="Times New Roman" w:eastAsia="Times New Roman" w:hAnsi="Times New Roman"/>
                <w:sz w:val="8"/>
                <w:szCs w:val="8"/>
                <w:color w:val="auto"/>
              </w:rPr>
              <w:t>(19)</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325,000</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308,000</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633,000</w:t>
            </w:r>
          </w:p>
        </w:tc>
        <w:tc>
          <w:tcPr>
            <w:tcW w:w="0" w:type="dxa"/>
            <w:vAlign w:val="bottom"/>
          </w:tcPr>
          <w:p>
            <w:pPr>
              <w:spacing w:after="0"/>
              <w:rPr>
                <w:sz w:val="1"/>
                <w:szCs w:val="1"/>
                <w:color w:val="auto"/>
              </w:rPr>
            </w:pPr>
          </w:p>
        </w:tc>
      </w:tr>
      <w:tr>
        <w:trPr>
          <w:trHeight w:val="260"/>
        </w:trPr>
        <w:tc>
          <w:tcPr>
            <w:tcW w:w="2780" w:type="dxa"/>
            <w:vAlign w:val="bottom"/>
          </w:tcPr>
          <w:p>
            <w:pPr>
              <w:spacing w:after="0"/>
              <w:rPr>
                <w:sz w:val="22"/>
                <w:szCs w:val="22"/>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325,000</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325,000</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1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stock awards granted to the NEO in the applicable fiscal year under our 2010 LTIP and computed in accordance with FASB ASC Topic 718. See Note 8 of the notes to our consolidated financial statements.</w:t>
      </w:r>
    </w:p>
    <w:p>
      <w:pPr>
        <w:spacing w:after="0" w:line="81" w:lineRule="exact"/>
        <w:rPr>
          <w:sz w:val="20"/>
          <w:szCs w:val="20"/>
          <w:color w:val="auto"/>
        </w:rPr>
      </w:pPr>
    </w:p>
    <w:p>
      <w:pPr>
        <w:ind w:left="660" w:right="20" w:firstLine="648"/>
        <w:spacing w:after="0" w:line="255" w:lineRule="auto"/>
        <w:rPr>
          <w:sz w:val="20"/>
          <w:szCs w:val="20"/>
          <w:color w:val="auto"/>
        </w:rPr>
      </w:pPr>
      <w:r>
        <w:rPr>
          <w:rFonts w:ascii="Times New Roman" w:cs="Times New Roman" w:eastAsia="Times New Roman" w:hAnsi="Times New Roman"/>
          <w:sz w:val="18"/>
          <w:szCs w:val="18"/>
          <w:color w:val="auto"/>
        </w:rPr>
        <w:t>Each NEO other than Mr. Colbert was granted performance-based RSUs (“PRSUs”) on January 4, 2016, the vesting of which is tied to the Company’s total stockholder return (“TSR”) during each of three consecutive annual performance periods. These PRSUs were subsequently amended on March 28, 2016, resulting, for accounting purposes, in the deemed cancellation of the original PRSUs and grant of replacement PRSUs, the vesting of which is tied to the Company’s TSR during a three-year performance period commencing on January 1, 2016 and ending on December 31, 2018. The PRSUs granted to our NEOs in fiscal 2016 are described in greater detail in “</w:t>
      </w:r>
      <w:r>
        <w:rPr>
          <w:rFonts w:ascii="Times New Roman" w:cs="Times New Roman" w:eastAsia="Times New Roman" w:hAnsi="Times New Roman"/>
          <w:sz w:val="18"/>
          <w:szCs w:val="18"/>
          <w:i w:val="1"/>
          <w:iCs w:val="1"/>
          <w:color w:val="auto"/>
        </w:rPr>
        <w:t>Compensation Discussion and Analysis - Part II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Components - Long-Term Incentive Plan</w:t>
      </w:r>
      <w:r>
        <w:rPr>
          <w:rFonts w:ascii="Times New Roman" w:cs="Times New Roman" w:eastAsia="Times New Roman" w:hAnsi="Times New Roman"/>
          <w:sz w:val="18"/>
          <w:szCs w:val="18"/>
          <w:color w:val="auto"/>
        </w:rPr>
        <w:t>” above. In accordance with SEC rules, the grant date fair value reflected in the above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equity award that is subject to performance conditions is based on the probable outcome of the performance condition. Below in the footnotes related to each individual’s equity award we specify the grant date value assuming maximum achievement of the PRSUs.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w:t>
      </w:r>
    </w:p>
    <w:p>
      <w:pPr>
        <w:sectPr>
          <w:pgSz w:w="11900" w:h="16838" w:orient="portrait"/>
          <w:cols w:equalWidth="0" w:num="1">
            <w:col w:w="11420"/>
          </w:cols>
          <w:pgMar w:left="240" w:top="580" w:right="239" w:bottom="1440" w:gutter="0" w:footer="0" w:header="0"/>
        </w:sectPr>
      </w:pPr>
    </w:p>
    <w:bookmarkStart w:id="61" w:name="page62"/>
    <w:bookmarkEnd w:id="61"/>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Jensen was hired as our President and CEO in May 2015.</w:t>
      </w:r>
    </w:p>
    <w:p>
      <w:pPr>
        <w:spacing w:after="0" w:line="144"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$1,731,960, the grant date fair value of the PRSUs granted to Mr. Jensen on January 4, 2016, and $299,880, which represents the aggregate incremental fair value calculated in accordance with FASB ASC Topic 718 in connection with the modification of Mr. Jensen’s PRSUs on March 28, 2016. Assuming the highest level of performance conditions will be achieved, the value PRSUs awarded would be $2,873,340.</w:t>
      </w:r>
    </w:p>
    <w:p>
      <w:pPr>
        <w:spacing w:after="0" w:line="95"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relocation expenses paid by the Company in the amount of $8,012, reimbursements for travel, including airfare, in the amount of $10,528, $2,063 in 401(k) matching contributions and $385 for a holiday cash gift.</w:t>
      </w:r>
    </w:p>
    <w:p>
      <w:pPr>
        <w:spacing w:after="0" w:line="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signing bonus paid to Mr. Jensen in connection with the commencement of his employment.</w:t>
      </w:r>
    </w:p>
    <w:p>
      <w:pPr>
        <w:spacing w:after="0" w:line="14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Jaggi was hired as our Chief Financial Officer on August 24, 2015.</w:t>
      </w:r>
    </w:p>
    <w:p>
      <w:pPr>
        <w:spacing w:after="0" w:line="144" w:lineRule="exact"/>
        <w:rPr>
          <w:rFonts w:ascii="Times New Roman" w:cs="Times New Roman" w:eastAsia="Times New Roman" w:hAnsi="Times New Roman"/>
          <w:sz w:val="18"/>
          <w:szCs w:val="18"/>
          <w:color w:val="auto"/>
        </w:rPr>
      </w:pPr>
    </w:p>
    <w:p>
      <w:pPr>
        <w:ind w:left="328" w:right="60" w:hanging="328"/>
        <w:spacing w:after="0" w:line="261"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$85,081, the grant date fair value of shares of restricted stock awarded to Mr. Jaggi in connection with this commencement of employment, $520,720, the grant date fair value of the PRSUs granted to Mr. Jaggi on January 4, 2016, and $90,160, which represents the aggregate incremental fair value calculated in accordance with FASB ASC Topic 718 in connection with the modification of Mr. Jaggi’s PRSUs on March 28, 2016. Assuming the highest level of performance conditions will be achieved, the value PRSUs awarded would be $863,880.</w:t>
      </w:r>
    </w:p>
    <w:p>
      <w:pPr>
        <w:spacing w:after="0" w:line="99"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$10,313 paid to Mr Jaggi for consulting services prior to his employment with the Company and $284,375 paid to Mr. Jaggi during the fiscal year for his salary. His annualized salary during the fiscal year was $325,000.</w:t>
      </w:r>
    </w:p>
    <w:p>
      <w:pPr>
        <w:spacing w:after="0" w:line="80"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$520,720, the grant date fair value of the PRSUs granted to Mr. Urban on January 4, 2016, and $90,160, which represents the aggregate incremental fair value calculated in accordance with FASB ASC Topic 718 in connection with the modification of Mr. Urban’s PRSUs on March 28, 2016. Assuming the highest level of performance conditions will be achieved, the value PRSUs awarded would be $863,880.</w:t>
      </w:r>
    </w:p>
    <w:p>
      <w:pPr>
        <w:spacing w:after="0" w:line="95" w:lineRule="exact"/>
        <w:rPr>
          <w:rFonts w:ascii="Times New Roman" w:cs="Times New Roman" w:eastAsia="Times New Roman" w:hAnsi="Times New Roman"/>
          <w:sz w:val="18"/>
          <w:szCs w:val="18"/>
          <w:color w:val="auto"/>
        </w:rPr>
      </w:pPr>
    </w:p>
    <w:p>
      <w:pPr>
        <w:ind w:left="328" w:right="520"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$15,029 Mr. Urban received in reimbursements for travel, including airfare, $11,100 in 401(k) matching contributions and $385 for a holiday cash gift.</w:t>
      </w:r>
    </w:p>
    <w:p>
      <w:pPr>
        <w:spacing w:after="0" w:line="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Rose was hired as our Chief Sales Officer on July 21, 2015.</w:t>
      </w:r>
    </w:p>
    <w:p>
      <w:pPr>
        <w:spacing w:after="0" w:line="14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Rose's annualized salary during the fiscal year was $340,000.</w:t>
      </w:r>
    </w:p>
    <w:p>
      <w:pPr>
        <w:spacing w:after="0" w:line="144" w:lineRule="exact"/>
        <w:rPr>
          <w:rFonts w:ascii="Times New Roman" w:cs="Times New Roman" w:eastAsia="Times New Roman" w:hAnsi="Times New Roman"/>
          <w:sz w:val="18"/>
          <w:szCs w:val="18"/>
          <w:color w:val="auto"/>
        </w:rPr>
      </w:pPr>
    </w:p>
    <w:p>
      <w:pPr>
        <w:ind w:left="328" w:right="80" w:hanging="328"/>
        <w:spacing w:after="0" w:line="261"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$65,401, the grant date fair value of shares of restricted stock awarded to Mr. Rose in connection with this commencement of employment, $520,720, the grant date fair value of the PRSUs granted to Mr. Rose on January 4, 2016, and $90,160, which represents the aggregate incremental fair value calculated in accordance with FASB ASC Topic 718 in connection with the modification of Mr. Rose’s PRSUs on March 28, 2016. Assuming the highest level of performance conditions will be achieved, the value PRSUs awarded would be $863,880.</w:t>
      </w:r>
    </w:p>
    <w:p>
      <w:pPr>
        <w:spacing w:after="0" w:line="99" w:lineRule="exact"/>
        <w:rPr>
          <w:rFonts w:ascii="Times New Roman" w:cs="Times New Roman" w:eastAsia="Times New Roman" w:hAnsi="Times New Roman"/>
          <w:sz w:val="18"/>
          <w:szCs w:val="18"/>
          <w:color w:val="auto"/>
        </w:rPr>
      </w:pPr>
    </w:p>
    <w:p>
      <w:pPr>
        <w:ind w:left="328" w:hanging="328"/>
        <w:spacing w:after="0" w:line="25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2016, Mr. Rose participated in the Company’s sales incentive plan, which provides for bonuses to eligible employees in our sales function based upon revenue earned and other sales metrics measured during the applicable period. This plan pays on a quarterly basis. The amount in the table reflects the total bonus paid to Mr. Rose with respect to fiscal 2016 under our sales incentive plan and does not include $14,171 related to the fourth quarter bonus that was not paid as a result of the independent review conducted by our audit committee. Further details relating to Mr. Rose’s sales incentive plan bonus are provided in “</w:t>
      </w:r>
      <w:r>
        <w:rPr>
          <w:rFonts w:ascii="Times New Roman" w:cs="Times New Roman" w:eastAsia="Times New Roman" w:hAnsi="Times New Roman"/>
          <w:sz w:val="18"/>
          <w:szCs w:val="18"/>
          <w:i w:val="1"/>
          <w:iCs w:val="1"/>
          <w:color w:val="auto"/>
        </w:rPr>
        <w:t>Compensation Discussion and Analysis - PART II: COMPENSATION COMPONENTS -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w:t>
      </w:r>
    </w:p>
    <w:p>
      <w:pPr>
        <w:spacing w:after="0" w:line="106"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relocation expenses paid by the Company in the amount of $8,170 and reimbursements for travel, including airfare, in the amount of $1,770 and $385 for a holiday cash gift.</w:t>
      </w:r>
    </w:p>
    <w:p>
      <w:pPr>
        <w:spacing w:after="0" w:line="80"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Oborn-Virchow was promoted to Senior Vice President, Human Resources on November 30, 2015. Her annualized salary was $225,500 through March 1, 2016, when it was increased to $253,000.</w:t>
      </w:r>
    </w:p>
    <w:p>
      <w:pPr>
        <w:spacing w:after="0" w:line="80" w:lineRule="exact"/>
        <w:rPr>
          <w:rFonts w:ascii="Times New Roman" w:cs="Times New Roman" w:eastAsia="Times New Roman" w:hAnsi="Times New Roman"/>
          <w:sz w:val="18"/>
          <w:szCs w:val="18"/>
          <w:color w:val="auto"/>
        </w:rPr>
      </w:pPr>
    </w:p>
    <w:p>
      <w:pPr>
        <w:jc w:val="both"/>
        <w:ind w:left="328" w:right="160" w:hanging="328"/>
        <w:spacing w:after="0" w:line="289" w:lineRule="auto"/>
        <w:tabs>
          <w:tab w:leader="none" w:pos="32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$328,280, the grant date fair value of the PRSUs granted to Ms. Oborn-Virchow on January 4, 2016, and $56,840, which represents the aggregate incremental fair value calculated in accordance with FASB ASC Topic 718 in connection with the modification of Ms. Oborn-Virchow’s PRSUs on March 28, 2016. Assuming the highest level of performance conditions will be achieved, the value PRSUs awarded would be $544,620.</w:t>
      </w:r>
    </w:p>
    <w:p>
      <w:pPr>
        <w:spacing w:after="0" w:line="77"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401(k) matching contributions and $385 for a holiday cash gift.</w:t>
      </w:r>
    </w:p>
    <w:p>
      <w:pPr>
        <w:spacing w:after="0" w:line="14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Colbert’s employment with the Company was terminated effective July 3, 2015.</w:t>
      </w:r>
    </w:p>
    <w:p>
      <w:pPr>
        <w:spacing w:after="0" w:line="14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payments made pursuant to Mr. Colbert's separation agreement.</w:t>
      </w:r>
    </w:p>
    <w:p>
      <w:pPr>
        <w:spacing w:after="0" w:line="387" w:lineRule="exact"/>
        <w:rPr>
          <w:rFonts w:ascii="Times New Roman" w:cs="Times New Roman" w:eastAsia="Times New Roman" w:hAnsi="Times New Roman"/>
          <w:sz w:val="18"/>
          <w:szCs w:val="18"/>
          <w:color w:val="auto"/>
        </w:rPr>
      </w:pPr>
    </w:p>
    <w:p>
      <w:pPr>
        <w:ind w:left="5308" w:hanging="98"/>
        <w:spacing w:after="0"/>
        <w:tabs>
          <w:tab w:leader="none" w:pos="53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p>
    <w:p>
      <w:pPr>
        <w:sectPr>
          <w:pgSz w:w="11900" w:h="16838" w:orient="portrait"/>
          <w:cols w:equalWidth="0" w:num="1">
            <w:col w:w="11068"/>
          </w:cols>
          <w:pgMar w:left="572" w:top="580"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Salary, Bonus and Non-Equity Incentive Plan Compensation in Proportion to Total Compensation</w:t>
      </w:r>
    </w:p>
    <w:p>
      <w:pPr>
        <w:spacing w:after="0" w:line="94" w:lineRule="exact"/>
        <w:rPr>
          <w:sz w:val="20"/>
          <w:szCs w:val="20"/>
          <w:color w:val="auto"/>
        </w:rPr>
      </w:pPr>
    </w:p>
    <w:p>
      <w:pPr>
        <w:ind w:right="60" w:firstLine="357"/>
        <w:spacing w:after="0" w:line="266" w:lineRule="auto"/>
        <w:rPr>
          <w:sz w:val="20"/>
          <w:szCs w:val="20"/>
          <w:color w:val="auto"/>
        </w:rPr>
      </w:pPr>
      <w:r>
        <w:rPr>
          <w:rFonts w:ascii="Times New Roman" w:cs="Times New Roman" w:eastAsia="Times New Roman" w:hAnsi="Times New Roman"/>
          <w:sz w:val="18"/>
          <w:szCs w:val="18"/>
          <w:color w:val="auto"/>
        </w:rPr>
        <w:t>The amount of salary, bonus and non-equity incentive plan compensation awarded to, earned by, or paid to our NEOs for fiscal 2016 in proportion to the total compensation reported for each NEO who remained in service with us through the end of the fiscal year ranged from 21% in the case of Mr. Jensen to 40% in the case of Mr. Rose.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4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grants of non-equity incentive and equity incentive plan awards to our NEOs in fiscal 2016. Non-equity incentive plan awards are provided under our fiscal 2016 Annual Incentive Plan, or AIP. Equity incentive awards are provided under our 2010 Long Term Incentive Plan, or 2010 LTIP. These non-equity and equity incentive plan awards are also described in “</w:t>
      </w:r>
      <w:r>
        <w:rPr>
          <w:rFonts w:ascii="Times New Roman" w:cs="Times New Roman" w:eastAsia="Times New Roman" w:hAnsi="Times New Roman"/>
          <w:sz w:val="18"/>
          <w:szCs w:val="18"/>
          <w:i w:val="1"/>
          <w:iCs w:val="1"/>
          <w:color w:val="auto"/>
        </w:rPr>
        <w:t>Compensation Discussion and Analysis-Part II-Compensation Components-Annual Incentive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Discussion and Analysis-Part II-Compensation Components-Annual Incentive Plan-Long Term Incentive Plan</w:t>
      </w:r>
      <w:r>
        <w:rPr>
          <w:rFonts w:ascii="Times New Roman" w:cs="Times New Roman" w:eastAsia="Times New Roman" w:hAnsi="Times New Roman"/>
          <w:sz w:val="18"/>
          <w:szCs w:val="18"/>
          <w:color w:val="auto"/>
        </w:rPr>
        <w:t>.” Mr. Colbert did not receive any grants of equity or non-equity incentive plan awards due to his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Company effective July 3, 2015.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2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 Awards (2)</w:t>
            </w:r>
          </w:p>
        </w:tc>
        <w:tc>
          <w:tcPr>
            <w:tcW w:w="23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 Awards (3)</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40" w:type="dxa"/>
            <w:vAlign w:val="bottom"/>
            <w:vMerge w:val="restart"/>
          </w:tcPr>
          <w:p>
            <w:pPr>
              <w:ind w:left="320"/>
              <w:spacing w:after="0" w:line="110" w:lineRule="exact"/>
              <w:rPr>
                <w:sz w:val="20"/>
                <w:szCs w:val="20"/>
                <w:color w:val="auto"/>
              </w:rPr>
            </w:pPr>
            <w:r>
              <w:rPr>
                <w:rFonts w:ascii="Times New Roman" w:cs="Times New Roman" w:eastAsia="Times New Roman" w:hAnsi="Times New Roman"/>
                <w:sz w:val="12"/>
                <w:szCs w:val="12"/>
                <w:b w:val="1"/>
                <w:bCs w:val="1"/>
                <w:color w:val="auto"/>
              </w:rPr>
              <w:t>Award</w:t>
            </w:r>
          </w:p>
        </w:tc>
        <w:tc>
          <w:tcPr>
            <w:tcW w:w="9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2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of Shares Or Units</w:t>
            </w:r>
          </w:p>
        </w:tc>
        <w:tc>
          <w:tcPr>
            <w:tcW w:w="108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and Option</w:t>
            </w:r>
          </w:p>
        </w:tc>
        <w:tc>
          <w:tcPr>
            <w:tcW w:w="0" w:type="dxa"/>
            <w:vAlign w:val="bottom"/>
          </w:tcPr>
          <w:p>
            <w:pPr>
              <w:spacing w:after="0"/>
              <w:rPr>
                <w:sz w:val="1"/>
                <w:szCs w:val="1"/>
                <w:color w:val="auto"/>
              </w:rPr>
            </w:pPr>
          </w:p>
        </w:tc>
      </w:tr>
      <w:tr>
        <w:trPr>
          <w:trHeight w:val="36"/>
        </w:trPr>
        <w:tc>
          <w:tcPr>
            <w:tcW w:w="12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vMerge w:val="continue"/>
          </w:tcPr>
          <w:p>
            <w:pPr>
              <w:spacing w:after="0"/>
              <w:rPr>
                <w:sz w:val="3"/>
                <w:szCs w:val="3"/>
                <w:color w:val="auto"/>
              </w:rPr>
            </w:pPr>
          </w:p>
        </w:tc>
        <w:tc>
          <w:tcPr>
            <w:tcW w:w="21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Grant Date   Threshold ($)</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1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2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22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Type (1)</w:t>
            </w:r>
          </w:p>
        </w:tc>
        <w:tc>
          <w:tcPr>
            <w:tcW w:w="2100" w:type="dxa"/>
            <w:vAlign w:val="bottom"/>
            <w:tcBorders>
              <w:bottom w:val="single" w:sz="8" w:color="auto"/>
            </w:tcBorders>
            <w:gridSpan w:val="2"/>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(4)</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($)(5)</w:t>
            </w:r>
          </w:p>
        </w:tc>
        <w:tc>
          <w:tcPr>
            <w:tcW w:w="0" w:type="dxa"/>
            <w:vAlign w:val="bottom"/>
          </w:tcPr>
          <w:p>
            <w:pPr>
              <w:spacing w:after="0"/>
              <w:rPr>
                <w:sz w:val="1"/>
                <w:szCs w:val="1"/>
                <w:color w:val="auto"/>
              </w:rPr>
            </w:pPr>
          </w:p>
        </w:tc>
      </w:tr>
      <w:tr>
        <w:trPr>
          <w:trHeight w:val="269"/>
        </w:trPr>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Darren Jensen</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PRSU</w:t>
            </w:r>
          </w:p>
        </w:tc>
        <w:tc>
          <w:tcPr>
            <w:tcW w:w="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3/28/2016</w:t>
            </w:r>
          </w:p>
        </w:tc>
        <w:tc>
          <w:tcPr>
            <w:tcW w:w="1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153,000</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306,000</w:t>
            </w:r>
          </w:p>
        </w:tc>
        <w:tc>
          <w:tcPr>
            <w:tcW w:w="1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2,031,840</w:t>
            </w:r>
          </w:p>
        </w:tc>
        <w:tc>
          <w:tcPr>
            <w:tcW w:w="0" w:type="dxa"/>
            <w:vAlign w:val="bottom"/>
          </w:tcPr>
          <w:p>
            <w:pPr>
              <w:spacing w:after="0"/>
              <w:rPr>
                <w:sz w:val="1"/>
                <w:szCs w:val="1"/>
                <w:color w:val="auto"/>
              </w:rPr>
            </w:pPr>
          </w:p>
        </w:tc>
      </w:tr>
      <w:tr>
        <w:trPr>
          <w:trHeight w:val="265"/>
        </w:trPr>
        <w:tc>
          <w:tcPr>
            <w:tcW w:w="12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AIP</w:t>
            </w:r>
          </w:p>
        </w:tc>
        <w:tc>
          <w:tcPr>
            <w:tcW w:w="2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90,200</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453,750</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825,000</w:t>
            </w: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 Jaggi</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RSA</w:t>
            </w:r>
          </w:p>
        </w:tc>
        <w:tc>
          <w:tcPr>
            <w:tcW w:w="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8/24/2015</w:t>
            </w:r>
          </w:p>
        </w:tc>
        <w:tc>
          <w:tcPr>
            <w:tcW w:w="1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17,143</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170,161</w:t>
            </w:r>
          </w:p>
        </w:tc>
        <w:tc>
          <w:tcPr>
            <w:tcW w:w="0" w:type="dxa"/>
            <w:vAlign w:val="bottom"/>
          </w:tcPr>
          <w:p>
            <w:pPr>
              <w:spacing w:after="0"/>
              <w:rPr>
                <w:sz w:val="1"/>
                <w:szCs w:val="1"/>
                <w:color w:val="auto"/>
              </w:rPr>
            </w:pPr>
          </w:p>
        </w:tc>
      </w:tr>
      <w:tr>
        <w:trPr>
          <w:trHeight w:val="265"/>
        </w:trPr>
        <w:tc>
          <w:tcPr>
            <w:tcW w:w="12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PRSU</w:t>
            </w:r>
          </w:p>
        </w:tc>
        <w:tc>
          <w:tcPr>
            <w:tcW w:w="9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3/28/2016</w:t>
            </w: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46,000</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92,000</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610,880</w:t>
            </w:r>
          </w:p>
        </w:tc>
        <w:tc>
          <w:tcPr>
            <w:tcW w:w="0" w:type="dxa"/>
            <w:vAlign w:val="bottom"/>
          </w:tcPr>
          <w:p>
            <w:pPr>
              <w:spacing w:after="0"/>
              <w:rPr>
                <w:sz w:val="1"/>
                <w:szCs w:val="1"/>
                <w:color w:val="auto"/>
              </w:rPr>
            </w:pPr>
          </w:p>
        </w:tc>
      </w:tr>
      <w:tr>
        <w:trPr>
          <w:trHeight w:val="275"/>
        </w:trPr>
        <w:tc>
          <w:tcPr>
            <w:tcW w:w="1240" w:type="dxa"/>
            <w:vAlign w:val="bottom"/>
            <w:shd w:val="clear" w:color="auto" w:fill="CCEEFF"/>
          </w:tcPr>
          <w:p>
            <w:pPr>
              <w:spacing w:after="0"/>
              <w:rPr>
                <w:sz w:val="23"/>
                <w:szCs w:val="23"/>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AIP</w:t>
            </w:r>
          </w:p>
        </w:tc>
        <w:tc>
          <w:tcPr>
            <w:tcW w:w="2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9,750</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162,500</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243,750</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Robert M. Urban</w:t>
            </w: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PRSU</w:t>
            </w:r>
          </w:p>
        </w:tc>
        <w:tc>
          <w:tcPr>
            <w:tcW w:w="9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3/28/2016</w:t>
            </w:r>
          </w:p>
        </w:tc>
        <w:tc>
          <w:tcPr>
            <w:tcW w:w="118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46,000</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92,000</w:t>
            </w:r>
          </w:p>
        </w:tc>
        <w:tc>
          <w:tcPr>
            <w:tcW w:w="1220" w:type="dxa"/>
            <w:vAlign w:val="bottom"/>
          </w:tcPr>
          <w:p>
            <w:pPr>
              <w:spacing w:after="0"/>
              <w:rPr>
                <w:sz w:val="23"/>
                <w:szCs w:val="23"/>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610,880</w:t>
            </w:r>
          </w:p>
        </w:tc>
        <w:tc>
          <w:tcPr>
            <w:tcW w:w="0" w:type="dxa"/>
            <w:vAlign w:val="bottom"/>
          </w:tcPr>
          <w:p>
            <w:pPr>
              <w:spacing w:after="0"/>
              <w:rPr>
                <w:sz w:val="1"/>
                <w:szCs w:val="1"/>
                <w:color w:val="auto"/>
              </w:rPr>
            </w:pPr>
          </w:p>
        </w:tc>
      </w:tr>
      <w:tr>
        <w:trPr>
          <w:trHeight w:val="275"/>
        </w:trPr>
        <w:tc>
          <w:tcPr>
            <w:tcW w:w="1240" w:type="dxa"/>
            <w:vAlign w:val="bottom"/>
            <w:shd w:val="clear" w:color="auto" w:fill="CCEEFF"/>
          </w:tcPr>
          <w:p>
            <w:pPr>
              <w:spacing w:after="0"/>
              <w:rPr>
                <w:sz w:val="23"/>
                <w:szCs w:val="23"/>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AIP</w:t>
            </w:r>
          </w:p>
        </w:tc>
        <w:tc>
          <w:tcPr>
            <w:tcW w:w="2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11,100</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185,000</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277,500</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Justin Rose</w:t>
            </w: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RSA</w:t>
            </w:r>
          </w:p>
        </w:tc>
        <w:tc>
          <w:tcPr>
            <w:tcW w:w="9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7/27/2015</w:t>
            </w: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17,143</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130,801</w:t>
            </w:r>
          </w:p>
        </w:tc>
        <w:tc>
          <w:tcPr>
            <w:tcW w:w="0" w:type="dxa"/>
            <w:vAlign w:val="bottom"/>
          </w:tcPr>
          <w:p>
            <w:pPr>
              <w:spacing w:after="0"/>
              <w:rPr>
                <w:sz w:val="1"/>
                <w:szCs w:val="1"/>
                <w:color w:val="auto"/>
              </w:rPr>
            </w:pPr>
          </w:p>
        </w:tc>
      </w:tr>
      <w:tr>
        <w:trPr>
          <w:trHeight w:val="275"/>
        </w:trPr>
        <w:tc>
          <w:tcPr>
            <w:tcW w:w="1240" w:type="dxa"/>
            <w:vAlign w:val="bottom"/>
            <w:shd w:val="clear" w:color="auto" w:fill="CCEEFF"/>
          </w:tcPr>
          <w:p>
            <w:pPr>
              <w:spacing w:after="0"/>
              <w:rPr>
                <w:sz w:val="23"/>
                <w:szCs w:val="23"/>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PRSU</w:t>
            </w:r>
          </w:p>
        </w:tc>
        <w:tc>
          <w:tcPr>
            <w:tcW w:w="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3/28/2016</w:t>
            </w:r>
          </w:p>
        </w:tc>
        <w:tc>
          <w:tcPr>
            <w:tcW w:w="1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46,000</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92,000</w:t>
            </w: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610,880</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840" w:type="dxa"/>
            <w:vAlign w:val="bottom"/>
          </w:tcPr>
          <w:p>
            <w:pPr>
              <w:ind w:left="220"/>
              <w:spacing w:after="0" w:line="270" w:lineRule="exact"/>
              <w:rPr>
                <w:sz w:val="20"/>
                <w:szCs w:val="20"/>
                <w:color w:val="auto"/>
              </w:rPr>
            </w:pPr>
            <w:r>
              <w:rPr>
                <w:rFonts w:ascii="Times New Roman" w:cs="Times New Roman" w:eastAsia="Times New Roman" w:hAnsi="Times New Roman"/>
                <w:sz w:val="28"/>
                <w:szCs w:val="28"/>
                <w:color w:val="auto"/>
                <w:vertAlign w:val="subscript"/>
              </w:rPr>
              <w:t>SIP</w:t>
            </w:r>
            <w:r>
              <w:rPr>
                <w:rFonts w:ascii="Times New Roman" w:cs="Times New Roman" w:eastAsia="Times New Roman" w:hAnsi="Times New Roman"/>
                <w:sz w:val="9"/>
                <w:szCs w:val="9"/>
                <w:color w:val="auto"/>
              </w:rPr>
              <w:t xml:space="preserve"> (6)</w:t>
            </w:r>
          </w:p>
        </w:tc>
        <w:tc>
          <w:tcPr>
            <w:tcW w:w="2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8,492</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170,000</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9"/>
                <w:szCs w:val="9"/>
                <w:color w:val="auto"/>
              </w:rPr>
              <w:t>(6)</w:t>
            </w: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Michelle Oborn-</w:t>
            </w:r>
          </w:p>
        </w:tc>
        <w:tc>
          <w:tcPr>
            <w:tcW w:w="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PRSU</w:t>
            </w:r>
          </w:p>
        </w:tc>
        <w:tc>
          <w:tcPr>
            <w:tcW w:w="92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3/25/2016</w:t>
            </w:r>
          </w:p>
        </w:tc>
        <w:tc>
          <w:tcPr>
            <w:tcW w:w="1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29,000</w:t>
            </w:r>
          </w:p>
        </w:tc>
        <w:tc>
          <w:tcPr>
            <w:tcW w:w="11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29,000</w:t>
            </w:r>
          </w:p>
        </w:tc>
        <w:tc>
          <w:tcPr>
            <w:tcW w:w="1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385,120</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Virchow</w:t>
            </w:r>
          </w:p>
        </w:tc>
        <w:tc>
          <w:tcPr>
            <w:tcW w:w="8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2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AIP</w:t>
            </w:r>
          </w:p>
        </w:tc>
        <w:tc>
          <w:tcPr>
            <w:tcW w:w="2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5,313</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88,550</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132,825</w:t>
            </w:r>
          </w:p>
        </w:tc>
        <w:tc>
          <w:tcPr>
            <w:tcW w:w="1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“AIP” denotes that the award was made pursuant to our fiscal 2016 annual incentive plan. “SIP" denotes that the award was made pursuant to our fiscal 2016 sales incentive plan. “RSA” denotes an award of restricted stock that was made pursuant to our 2010 LTIP. “PRSU” denotes a performance-based restricted stock unit award that was made pursuant to our 2010 LTIP.</w:t>
      </w:r>
    </w:p>
    <w:p>
      <w:pPr>
        <w:spacing w:after="0" w:line="95"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incentive plan (AIP) is an annual incentive plan that pays a cash award for performance and is generally paid after the end of the performance year. See our “</w:t>
      </w:r>
      <w:r>
        <w:rPr>
          <w:rFonts w:ascii="Times New Roman" w:cs="Times New Roman" w:eastAsia="Times New Roman" w:hAnsi="Times New Roman"/>
          <w:sz w:val="18"/>
          <w:szCs w:val="18"/>
          <w:i w:val="1"/>
          <w:iCs w:val="1"/>
          <w:color w:val="auto"/>
        </w:rPr>
        <w:t>Compensation Discussion and Analysis-Part II-Compensation Components-Annual Incentive Plan</w:t>
      </w:r>
      <w:r>
        <w:rPr>
          <w:rFonts w:ascii="Times New Roman" w:cs="Times New Roman" w:eastAsia="Times New Roman" w:hAnsi="Times New Roman"/>
          <w:sz w:val="18"/>
          <w:szCs w:val="18"/>
          <w:color w:val="auto"/>
        </w:rPr>
        <w:t>” for a detailed description of annual incentive plan awards. The amounts reported in the Threshold column reflect the potential payout if the Company’s revenue and diluted adjusted earnings per share for the fiscal year was at the minimum level required to receive a cash bonus. The amounts reported in the Target column reflect the at-target potential payout if the Company’s revenue and diluted adjusted earnings per share for the fiscal year was at the goal performance level. The amounts reported in the Maximum column reflect the maximum payout possible under the plan. Amounts for each NEO are based on a percentage of the NEO’s base salary set prior to the beginning of the fiscal year.</w:t>
      </w:r>
    </w:p>
    <w:p>
      <w:pPr>
        <w:spacing w:after="0" w:line="108"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was granted PRSUs under the 2010 LTIP on January 4, 2016, the vesting of which was tied to the Company's TSR during each of three consecutive annual performance periods. The PRSUs were subsequently amended on March 28, 2016, resulting in the deemed cancellation of the original PRSUs and grant of replacement PRSUs, the vesting of which is tied to the Company’s TSR during a three-year performance period commencing on January 1, 2016 and ending on December 31, 2018. We have included the sum of the grant date value of each individual’s PRSU plus the additional incremental value measured on the modification date in the above table. The fair value amounts for each of the January 4, 2016 original grant date and the March 28, 2016 modification date for each NEO are set forth below in the footnotes detailing their respective awards. Vesting of 50% of the PRSUs is based on the Company’s absolute TSR for the performance period as compared to a matrix of fixed numeric values, and the</w:t>
      </w:r>
    </w:p>
    <w:p>
      <w:pPr>
        <w:spacing w:after="0" w:line="347"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657" w:right="259" w:bottom="1440" w:gutter="0" w:footer="0" w:header="0"/>
        </w:sectPr>
      </w:pPr>
    </w:p>
    <w:bookmarkStart w:id="63" w:name="page64"/>
    <w:bookmarkEnd w:id="63"/>
    <w:p>
      <w:pPr>
        <w:ind w:left="660"/>
        <w:spacing w:after="0" w:line="308" w:lineRule="auto"/>
        <w:rPr>
          <w:sz w:val="20"/>
          <w:szCs w:val="20"/>
          <w:color w:val="auto"/>
        </w:rPr>
      </w:pPr>
      <w:r>
        <w:rPr>
          <w:rFonts w:ascii="Times New Roman" w:cs="Times New Roman" w:eastAsia="Times New Roman" w:hAnsi="Times New Roman"/>
          <w:sz w:val="18"/>
          <w:szCs w:val="18"/>
          <w:color w:val="auto"/>
        </w:rPr>
        <w:t>vesting of the other 50% of the PRSUs is based on a relative comparison of the Company’s TSR to the Vanguard Russell 2000 exchange traded fund. The number of PRSUs eligible to vest is 0% to 200% of the target. The number of PRSUs shown in the target column represents the number of PRSUs that will vest if achievement is at 100% for each of the three performance periods, and the maximum reflects achievement at 200%. No threshold is applicable to the PRSUs.</w:t>
      </w:r>
    </w:p>
    <w:p>
      <w:pPr>
        <w:spacing w:after="0" w:line="72" w:lineRule="exact"/>
        <w:rPr>
          <w:sz w:val="20"/>
          <w:szCs w:val="20"/>
          <w:color w:val="auto"/>
        </w:rPr>
      </w:pPr>
    </w:p>
    <w:p>
      <w:pPr>
        <w:ind w:left="660" w:right="8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Messrs. Jaggi and Rose were granted restricted stock under our 2010 LTIP. These awards vest over three years in equal installments based on continued employment with the Company on each such date. See our </w:t>
      </w:r>
      <w:r>
        <w:rPr>
          <w:rFonts w:ascii="Times New Roman" w:cs="Times New Roman" w:eastAsia="Times New Roman" w:hAnsi="Times New Roman"/>
          <w:sz w:val="18"/>
          <w:szCs w:val="18"/>
          <w:i w:val="1"/>
          <w:iCs w:val="1"/>
          <w:color w:val="auto"/>
        </w:rPr>
        <w:t xml:space="preserve">“Compensation Discussion and Analysis -Part II-Compensation Components-Annual Incentive Plan-Long Term Incentive Plan” </w:t>
      </w:r>
      <w:r>
        <w:rPr>
          <w:rFonts w:ascii="Times New Roman" w:cs="Times New Roman" w:eastAsia="Times New Roman" w:hAnsi="Times New Roman"/>
          <w:sz w:val="18"/>
          <w:szCs w:val="18"/>
          <w:color w:val="auto"/>
        </w:rPr>
        <w:t>above and also the Outstanding Equity Awards table below for a description of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our 2010 LTIP.</w:t>
      </w:r>
    </w:p>
    <w:p>
      <w:pPr>
        <w:spacing w:after="0" w:line="97"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the grant date fair value of each award in accordance with FASB ASC Topic 718 and as described in Footnote 1 to the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 above. In accordance with SEC rules, the grant date fair value of an award that is subject to a performance condition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probable outcome of the performance condition.</w:t>
      </w:r>
    </w:p>
    <w:p>
      <w:pPr>
        <w:spacing w:after="0" w:line="9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Rose participated during the year in our 2016 sales incentive plan. The sales incentive plan does not provide for maximum amount that may be paid on annual basis for awards. See our “</w:t>
      </w:r>
      <w:r>
        <w:rPr>
          <w:rFonts w:ascii="Times New Roman" w:cs="Times New Roman" w:eastAsia="Times New Roman" w:hAnsi="Times New Roman"/>
          <w:sz w:val="18"/>
          <w:szCs w:val="18"/>
          <w:i w:val="1"/>
          <w:iCs w:val="1"/>
          <w:color w:val="auto"/>
        </w:rPr>
        <w:t>Compensation Discussion and Analysis-Part II-2016 Sales Incentive Plan</w:t>
      </w:r>
      <w:r>
        <w:rPr>
          <w:rFonts w:ascii="Times New Roman" w:cs="Times New Roman" w:eastAsia="Times New Roman" w:hAnsi="Times New Roman"/>
          <w:sz w:val="18"/>
          <w:szCs w:val="18"/>
          <w:color w:val="auto"/>
        </w:rPr>
        <w:t>” for a detailed description of his 2016 bonus.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each unexercised option and all restricted stock and performance-based restricted stock units (“PRSUs”) held by our NEOs as of June 30,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4"/>
        </w:trPr>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62"/>
        </w:trPr>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62"/>
        </w:trPr>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r>
      <w:tr>
        <w:trPr>
          <w:trHeight w:val="162"/>
        </w:trPr>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r>
      <w:tr>
        <w:trPr>
          <w:trHeight w:val="162"/>
        </w:trPr>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w:t>
            </w:r>
          </w:p>
        </w:tc>
      </w:tr>
      <w:tr>
        <w:trPr>
          <w:trHeight w:val="162"/>
        </w:trPr>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r>
      <w:tr>
        <w:trPr>
          <w:trHeight w:val="162"/>
        </w:trPr>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r>
      <w:tr>
        <w:trPr>
          <w:trHeight w:val="162"/>
        </w:trPr>
        <w:tc>
          <w:tcPr>
            <w:tcW w:w="196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r>
      <w:tr>
        <w:trPr>
          <w:trHeight w:val="162"/>
        </w:trPr>
        <w:tc>
          <w:tcPr>
            <w:tcW w:w="1960" w:type="dxa"/>
            <w:vAlign w:val="bottom"/>
          </w:tcPr>
          <w:p>
            <w:pPr>
              <w:spacing w:after="0"/>
              <w:rPr>
                <w:sz w:val="14"/>
                <w:szCs w:val="14"/>
                <w:color w:val="auto"/>
              </w:rPr>
            </w:pPr>
          </w:p>
        </w:tc>
        <w:tc>
          <w:tcPr>
            <w:tcW w:w="12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62"/>
        </w:trPr>
        <w:tc>
          <w:tcPr>
            <w:tcW w:w="196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or</w:t>
            </w:r>
          </w:p>
        </w:tc>
      </w:tr>
      <w:tr>
        <w:trPr>
          <w:trHeight w:val="162"/>
        </w:trPr>
        <w:tc>
          <w:tcPr>
            <w:tcW w:w="196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w:t>
            </w:r>
          </w:p>
        </w:tc>
      </w:tr>
      <w:tr>
        <w:trPr>
          <w:trHeight w:val="162"/>
        </w:trPr>
        <w:tc>
          <w:tcPr>
            <w:tcW w:w="196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Not</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r>
      <w:tr>
        <w:trPr>
          <w:trHeight w:val="162"/>
        </w:trPr>
        <w:tc>
          <w:tcPr>
            <w:tcW w:w="196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420" w:type="dxa"/>
            <w:vAlign w:val="bottom"/>
          </w:tcPr>
          <w:p>
            <w:pPr>
              <w:spacing w:after="0"/>
              <w:rPr>
                <w:sz w:val="14"/>
                <w:szCs w:val="14"/>
                <w:color w:val="auto"/>
              </w:rPr>
            </w:pPr>
          </w:p>
        </w:tc>
        <w:tc>
          <w:tcPr>
            <w:tcW w:w="9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w:t>
            </w:r>
          </w:p>
        </w:tc>
      </w:tr>
      <w:tr>
        <w:trPr>
          <w:trHeight w:val="209"/>
        </w:trPr>
        <w:tc>
          <w:tcPr>
            <w:tcW w:w="19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6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Darren Jensen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142,858</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(3)</w:t>
            </w: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1,942,868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153,000</w:t>
            </w:r>
          </w:p>
        </w:tc>
        <w:tc>
          <w:tcPr>
            <w:tcW w:w="36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(4)</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2,080,800</w:t>
            </w: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Mark Jaggi</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17,143</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(5)</w:t>
            </w:r>
          </w:p>
        </w:tc>
        <w:tc>
          <w:tcPr>
            <w:tcW w:w="1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36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(4)</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625,600</w:t>
            </w: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Robert M. Urban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21,429</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22.33</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5/29/2022</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1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440" w:type="dxa"/>
            <w:vAlign w:val="bottom"/>
          </w:tcPr>
          <w:p>
            <w:pPr>
              <w:ind w:left="60"/>
              <w:spacing w:after="0"/>
              <w:rPr>
                <w:sz w:val="20"/>
                <w:szCs w:val="20"/>
                <w:color w:val="auto"/>
              </w:rPr>
            </w:pPr>
            <w:r>
              <w:rPr>
                <w:rFonts w:ascii="Times New Roman" w:cs="Times New Roman" w:eastAsia="Times New Roman" w:hAnsi="Times New Roman"/>
                <w:sz w:val="9"/>
                <w:szCs w:val="9"/>
                <w:color w:val="auto"/>
              </w:rPr>
              <w:t>(7)</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124,345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19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(8)</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259,053</w:t>
            </w:r>
          </w:p>
        </w:tc>
      </w:tr>
      <w:tr>
        <w:trPr>
          <w:trHeight w:val="265"/>
        </w:trPr>
        <w:tc>
          <w:tcPr>
            <w:tcW w:w="1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36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(4)</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625,600</w:t>
            </w: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Justin Rose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17,143</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(9)</w:t>
            </w: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233,145</w:t>
            </w: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1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36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(4)</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625,600</w:t>
            </w: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Michelle Oborn-Virchow</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4.90</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3/27/2019</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(10)</w:t>
            </w:r>
          </w:p>
        </w:tc>
        <w:tc>
          <w:tcPr>
            <w:tcW w:w="9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1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9.80</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1/25/2022</w:t>
            </w:r>
          </w:p>
        </w:tc>
        <w:tc>
          <w:tcPr>
            <w:tcW w:w="420" w:type="dxa"/>
            <w:vAlign w:val="bottom"/>
          </w:tcPr>
          <w:p>
            <w:pPr>
              <w:ind w:left="60"/>
              <w:spacing w:after="0"/>
              <w:rPr>
                <w:sz w:val="20"/>
                <w:szCs w:val="20"/>
                <w:color w:val="auto"/>
              </w:rPr>
            </w:pPr>
            <w:r>
              <w:rPr>
                <w:rFonts w:ascii="Times New Roman" w:cs="Times New Roman" w:eastAsia="Times New Roman" w:hAnsi="Times New Roman"/>
                <w:sz w:val="9"/>
                <w:szCs w:val="9"/>
                <w:color w:val="auto"/>
              </w:rPr>
              <w:t>(11)</w:t>
            </w: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19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(12)</w:t>
            </w: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16,184</w:t>
            </w: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440" w:type="dxa"/>
            <w:vAlign w:val="bottom"/>
          </w:tcPr>
          <w:p>
            <w:pPr>
              <w:ind w:left="60"/>
              <w:spacing w:after="0"/>
              <w:rPr>
                <w:sz w:val="20"/>
                <w:szCs w:val="20"/>
                <w:color w:val="auto"/>
              </w:rPr>
            </w:pPr>
            <w:r>
              <w:rPr>
                <w:rFonts w:ascii="Times New Roman" w:cs="Times New Roman" w:eastAsia="Times New Roman" w:hAnsi="Times New Roman"/>
                <w:sz w:val="9"/>
                <w:szCs w:val="9"/>
                <w:color w:val="auto"/>
              </w:rPr>
              <w:t>(13)</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30,110</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19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(8)</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259,053</w:t>
            </w:r>
          </w:p>
        </w:tc>
      </w:tr>
      <w:tr>
        <w:trPr>
          <w:trHeight w:val="260"/>
        </w:trPr>
        <w:tc>
          <w:tcPr>
            <w:tcW w:w="1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36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(4)</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394,400</w:t>
            </w:r>
          </w:p>
        </w:tc>
      </w:tr>
    </w:tbl>
    <w:p>
      <w:pPr>
        <w:spacing w:after="0" w:line="127" w:lineRule="exact"/>
        <w:rPr>
          <w:sz w:val="20"/>
          <w:szCs w:val="20"/>
          <w:color w:val="auto"/>
        </w:rPr>
      </w:pPr>
    </w:p>
    <w:p>
      <w:pPr>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SEC rules as the number of unvested RSAs multiplied by the closing market price of our common stock at the end of the 2016 fiscal year, which was $13.60 on June 30, 2016 (the last business day of the 2016 fiscal year). The actual value (if any) to be realized by the NEO depends on whether the shares vest and the future performance of our common stock.</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SEC rules as the number of unvested PRSUs multiplied by the closing market price of our common stock at the end of the 2016 fiscal year, which was $13.60 on June 30, 2016 (the last business day of the</w:t>
      </w:r>
    </w:p>
    <w:p>
      <w:pPr>
        <w:sectPr>
          <w:pgSz w:w="11900" w:h="16838" w:orient="portrait"/>
          <w:cols w:equalWidth="0" w:num="1">
            <w:col w:w="11400"/>
          </w:cols>
          <w:pgMar w:left="240" w:top="607"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- 64-</w:t>
      </w:r>
    </w:p>
    <w:p>
      <w:pPr>
        <w:sectPr>
          <w:pgSz w:w="11900" w:h="16838" w:orient="portrait"/>
          <w:cols w:equalWidth="0" w:num="1">
            <w:col w:w="11400"/>
          </w:cols>
          <w:pgMar w:left="240" w:top="607" w:right="259" w:bottom="1440" w:gutter="0" w:footer="0" w:header="0"/>
          <w:type w:val="continuous"/>
        </w:sectPr>
      </w:pPr>
    </w:p>
    <w:bookmarkStart w:id="64" w:name="page65"/>
    <w:bookmarkEnd w:id="64"/>
    <w:p>
      <w:pPr>
        <w:ind w:left="660" w:right="220"/>
        <w:spacing w:after="0" w:line="329" w:lineRule="auto"/>
        <w:rPr>
          <w:sz w:val="20"/>
          <w:szCs w:val="20"/>
          <w:color w:val="auto"/>
        </w:rPr>
      </w:pPr>
      <w:r>
        <w:rPr>
          <w:rFonts w:ascii="Times New Roman" w:cs="Times New Roman" w:eastAsia="Times New Roman" w:hAnsi="Times New Roman"/>
          <w:sz w:val="18"/>
          <w:szCs w:val="18"/>
          <w:color w:val="auto"/>
        </w:rPr>
        <w:t>2016 fiscal year). The actual value (if any) to be realized by the NEO depends on whether the performance milestones related thereto are achieved and the future performance of our common stock.</w:t>
      </w:r>
    </w:p>
    <w:p>
      <w:pPr>
        <w:spacing w:after="0" w:line="54" w:lineRule="exact"/>
        <w:rPr>
          <w:sz w:val="20"/>
          <w:szCs w:val="20"/>
          <w:color w:val="auto"/>
        </w:rPr>
      </w:pPr>
    </w:p>
    <w:p>
      <w:pPr>
        <w:ind w:left="660" w:right="8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restricted stock were granted on May 18, 2015 and vest in full on the third anniversary of Mr. Jensen’s commencement of employment with the Company, assuming continuous employment with the Company through such date.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3 accompanying the Summary Compensation Table above for details regarding the 2016 PRSUs.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restricted stock were granted on August 24, 2015 and vest in three equal annual installments beginning on August 24, 2016 assuming Mr. Jaggi's continuous employment with the Company through each such date.</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May 29, 2012. One-fourth of the shares subject to this option vested on May 29, 2013, and the remaining shares vested in 36 equal monthly installments on the 29th day of each month thereafter.</w:t>
      </w:r>
    </w:p>
    <w:p>
      <w:pPr>
        <w:spacing w:after="0" w:line="80"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restricted stock were part of a restricted stock grant that was granted on June 24, 2013 and vested in four equal annual installments beginning on June 24, 2014 assuming continuous employment with the Company through each such date. Mr. Urban has 9,143 restricted shares remaining from the original grant that will vest on June 24, 2017 from this award.</w:t>
      </w:r>
    </w:p>
    <w:p>
      <w:pPr>
        <w:spacing w:after="0" w:line="95"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were granted to Mr. Urban and Ms. Oborn-Virchow on January 2, 2015 under the 2010 LTIP. Vesting for the PRSUs is subject to continued service and the Company’s TSR, with one-third of the PRSUs eligible to vest for each of calendar years 2015, 2016 and 2017. Vesting of 50% of the PRSUs is based on the Company’s absolute TSR for the performance period as compared to a matrix of fixed numeric values, and the vesting of the other 50% of the PRSUs is based on a relative comparison of the Company’s TSR to the Vanguard Russell 2000 exchange traded fund. The number of PRSUs eligible to vest in any performance period is 0% to 200% of the target for such calendar year. The number of PRSUs in the table reflects performance at the 100% target level of 9,524 PRSUs per year. Additional details regarding the vesting of the portion of these awards that related to calendar 2015 performance are provided in Footnote 2 to the Options Exercised and Stock Vested table below and in the Compensation Discussion and Analysis - PART II: COMPENSATION COMPONENTS - Long Term Incentive Plan.</w:t>
      </w:r>
    </w:p>
    <w:p>
      <w:pPr>
        <w:spacing w:after="0" w:line="10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restricted stock were granted on July 27, 2015 and vest in three equal annual installments beginning on July 27, 2016 assuming continuous employment with the Company through each such date.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27, 2009. All of the shares subject to this option vested on March 27, 2010.</w:t>
      </w:r>
    </w:p>
    <w:p>
      <w:pPr>
        <w:spacing w:after="0" w:line="14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January 25, 2012. One-fourth of the shares subject to this option vested on January 25, 2013, and the remaining shares vest in 36 equal monthly installments on the 25th day of each month assuming continuous employment with the Company.</w:t>
      </w:r>
    </w:p>
    <w:p>
      <w:pPr>
        <w:spacing w:after="0" w:line="8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restricted stock were part of a restricted stock grant that was granted on January 23, 2013 and vested in four equal annual installments beginning on January 23, 2014 assuming continuous employment with the Company through each such date. Ms. Oborn-Virchow has 1,190 restricted shares remaining from the original grant that will vest on January 23, 2017 from this award.</w:t>
      </w:r>
    </w:p>
    <w:p>
      <w:pPr>
        <w:spacing w:after="0" w:line="9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restricted stock were part of a restricted stock grant that was granted on June 24, 2013 and vested in four equal annual installments beginning on June 24, 2014 assuming continuous employment with the Company through each such date. Ms. Oborn-Virchow has 2,214 restricted shares remaining from the original grant that will vest on June 24, 2017 from this award.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2010 Long Term Incentive Plan</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2010, we adopted our 2010 Long Term Incentive Plan, or 2010 LTIP, which was approved by our shareholders in November 2010. The 2010 LTIP replaced the 2007 Long Term Incentive Plan for all equity-based awards granted to our NEOs and other employees. In September 2011, our board of directors approved an amendment to the 2010 LTIP to increase the number of shares of our common stock that are available for issuance under the 2010 LTIP by 485,715 to 985,715. Our shareholders approved that amendment in January 2012.</w:t>
      </w:r>
    </w:p>
    <w:p>
      <w:pPr>
        <w:spacing w:after="0" w:line="9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August 2014, our board of directors approved an amendment to the 2010 LTIP to increase the number of shares of our common stock that are available for issuance under the 2010 LTIP by 514,286 to 1,500,001, which was approved by our shareholders in November 2014. Unless terminated earlier, our 2010 LTIP will terminate on September 26, 2020</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w:t>
      </w:r>
    </w:p>
    <w:p>
      <w:pPr>
        <w:sectPr>
          <w:pgSz w:w="11900" w:h="16838" w:orient="portrait"/>
          <w:cols w:equalWidth="0" w:num="1">
            <w:col w:w="11420"/>
          </w:cols>
          <w:pgMar w:left="240" w:top="607" w:right="239" w:bottom="1440" w:gutter="0" w:footer="0" w:header="0"/>
        </w:sectPr>
      </w:pPr>
    </w:p>
    <w:bookmarkStart w:id="65" w:name="page66"/>
    <w:bookmarkEnd w:id="65"/>
    <w:p>
      <w:pPr>
        <w:ind w:firstLine="324"/>
        <w:spacing w:after="0" w:line="277" w:lineRule="auto"/>
        <w:rPr>
          <w:sz w:val="20"/>
          <w:szCs w:val="20"/>
          <w:color w:val="auto"/>
        </w:rPr>
      </w:pPr>
      <w:r>
        <w:rPr>
          <w:rFonts w:ascii="Times New Roman" w:cs="Times New Roman" w:eastAsia="Times New Roman" w:hAnsi="Times New Roman"/>
          <w:sz w:val="17"/>
          <w:szCs w:val="17"/>
          <w:color w:val="auto"/>
        </w:rPr>
        <w:t>A maximum of 1,500,001 shares of common stock could be issued under the 2010 LTIP in connection with the grant of awards. Awards have been granted pursuant to the 2010 LTIP and are outstanding to various employees, officers and directors, at prices between $4.41 and $24.71 per share with respect to options to purchase common stock, vesting over one- to four-year periods. Awards expire in accordance with the terms of each award and the shares subject to the award are added back to the 2010 LTIP upon expiration of the award. As of June 30, 2016, there were awards outstanding, net of awards expired, for the purchase in aggregate of 817,623 shares of our common stock. As of June 30, 2016, there were 371,217 shares available for issuance under the 2010 LTIP.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Long Term Incentive Plan</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previously adopted and our shareholders approved the 2007 Long Term Incentive Plan, or the 2007 LTIP, effective November 21, 2006. A maximum of 1,428,572 shares of common stock could be issued under the 2007 LTIP in connection with the grant of awards. Awards to purchase common stock have been granted pursuant to the 2007 LTIP and are outstanding to various employees, officers, directors, members of our scientific advisory board and independent distributors at prices between $1.47 and $10.50 per share with respect to options to purchase common stock, vesting over one- to three-year periods. Awards expire in accordance with the terms of each award and the shares subject to the award are added back to the 2007 LTIP upon expiration of the award. As of June 30, 2016, there were awards outstanding, net of awards expired, for the purchase in aggregate of 258,444 shares of our common stock. As of June 30, 2016, there were 4,566 shares available for issuance under the 2007 LTIP. This plan expires on November 21, 2016.</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4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common shares acquired by each of our NEOs upon the vesting of restricted stock awards during the fiscal year ended June 30, 2016. None of our NEOs exercised any stock options during the fiscal year ended June 30,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auto"/>
            </w:tcBorders>
            <w:gridSpan w:val="2"/>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360" w:type="dxa"/>
            <w:vAlign w:val="bottom"/>
            <w:tcBorders>
              <w:bottom w:val="single" w:sz="8" w:color="auto"/>
            </w:tcBorders>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Performance Shares (PRSUs)</w:t>
            </w:r>
          </w:p>
        </w:tc>
        <w:tc>
          <w:tcPr>
            <w:tcW w:w="0" w:type="dxa"/>
            <w:vAlign w:val="bottom"/>
          </w:tcPr>
          <w:p>
            <w:pPr>
              <w:spacing w:after="0"/>
              <w:rPr>
                <w:sz w:val="1"/>
                <w:szCs w:val="1"/>
                <w:color w:val="auto"/>
              </w:rPr>
            </w:pPr>
          </w:p>
        </w:tc>
      </w:tr>
      <w:tr>
        <w:trPr>
          <w:trHeight w:val="298"/>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24"/>
                <w:szCs w:val="24"/>
                <w:color w:val="auto"/>
              </w:rPr>
            </w:pPr>
          </w:p>
        </w:tc>
        <w:tc>
          <w:tcPr>
            <w:tcW w:w="1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17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($)(1)</w:t>
            </w:r>
          </w:p>
        </w:tc>
        <w:tc>
          <w:tcPr>
            <w:tcW w:w="1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17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5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Darren Jensen</w:t>
            </w:r>
          </w:p>
        </w:tc>
        <w:tc>
          <w:tcPr>
            <w:tcW w:w="1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Mark Jaggi</w:t>
            </w:r>
          </w:p>
        </w:tc>
        <w:tc>
          <w:tcPr>
            <w:tcW w:w="1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Robert M. Urban</w:t>
            </w:r>
          </w:p>
        </w:tc>
        <w:tc>
          <w:tcPr>
            <w:tcW w:w="1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17,127</w:t>
            </w:r>
          </w:p>
        </w:tc>
        <w:tc>
          <w:tcPr>
            <w:tcW w:w="1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198,767</w:t>
            </w: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7,466 (2)</w:t>
            </w:r>
          </w:p>
        </w:tc>
        <w:tc>
          <w:tcPr>
            <w:tcW w:w="1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71,076</w:t>
            </w:r>
          </w:p>
        </w:tc>
        <w:tc>
          <w:tcPr>
            <w:tcW w:w="0" w:type="dxa"/>
            <w:vAlign w:val="bottom"/>
          </w:tcPr>
          <w:p>
            <w:pPr>
              <w:spacing w:after="0"/>
              <w:rPr>
                <w:sz w:val="1"/>
                <w:szCs w:val="1"/>
                <w:color w:val="auto"/>
              </w:rPr>
            </w:pPr>
          </w:p>
        </w:tc>
      </w:tr>
      <w:tr>
        <w:trPr>
          <w:trHeight w:val="26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Justin Rose</w:t>
            </w:r>
          </w:p>
        </w:tc>
        <w:tc>
          <w:tcPr>
            <w:tcW w:w="1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Michelle Oborn-Virchow</w:t>
            </w:r>
          </w:p>
        </w:tc>
        <w:tc>
          <w:tcPr>
            <w:tcW w:w="1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10,872</w:t>
            </w:r>
          </w:p>
        </w:tc>
        <w:tc>
          <w:tcPr>
            <w:tcW w:w="1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109,997</w:t>
            </w: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7,466 (2)</w:t>
            </w:r>
          </w:p>
        </w:tc>
        <w:tc>
          <w:tcPr>
            <w:tcW w:w="1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71,076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right="2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upon vesting of stock awards was determined by multiplying the number of shares of restricted stock that vested by the fair market value of our common stock on the vesting date.</w:t>
      </w:r>
    </w:p>
    <w:p>
      <w:pPr>
        <w:spacing w:after="0" w:line="80"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were granted to Mr. Urban and Ms. Oborn-Virchow on January 2, 2015 under the 2010 LTIP. Vesting for the PRSUs is subject to continued service and the Company’s TSR, with one-third of the PRSUs eligible to vest for each of calendar years 2015, 2016 and 2017. Vesting of 50% of the PRSUs is based on the Company’s absolute TSR for the performance period as compared to a matrix of fixed numeric values, and the vesting of the other 50% of the PRSUs is based on a relative comparison of the Company’s TSR to the Vanguard Russell 2000 exchange traded fund. The number of PRSUs eligible to vest in any performance period is 0% to 200% of the target for such calendar year. The number of PRSUs in the table reflects the number of shares issued to each of Mr. Urban and Ms. Oborn-Virchow as a result of performance achievement for calendar year 2015 at the 78.39% achievement level. Details regarding calendar year 2015 performance are included in the “Compensation Discussion and Analysis - PART II: COMPENSATION COMPONENTS - Long Term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maintain any defined benefit pension plans.</w:t>
      </w:r>
    </w:p>
    <w:p>
      <w:pPr>
        <w:spacing w:after="0" w:line="1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w:t>
      </w:r>
    </w:p>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June 30, 2016, all of our NEOs other than Mr. Colbert were eligible to receive contractually-provided severance benefits under the terms of their respective employment agreements or key executive benefit package agreements, as applicable. Mr. Colbert would not have been entitled to benefits on June 30, 2016, as a result of his departure from the Company prior to such date. See “</w:t>
      </w:r>
      <w:r>
        <w:rPr>
          <w:rFonts w:ascii="Times New Roman" w:cs="Times New Roman" w:eastAsia="Times New Roman" w:hAnsi="Times New Roman"/>
          <w:sz w:val="18"/>
          <w:szCs w:val="18"/>
          <w:i w:val="1"/>
          <w:iCs w:val="1"/>
          <w:color w:val="auto"/>
        </w:rPr>
        <w:t>Compensation Discussion and Analysis-Part III-Other Matters-Employment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Discussion and Analysis-Part III-Other Matters-Severance or Change-in-Control Agreements</w:t>
      </w:r>
      <w:r>
        <w:rPr>
          <w:rFonts w:ascii="Times New Roman" w:cs="Times New Roman" w:eastAsia="Times New Roman" w:hAnsi="Times New Roman"/>
          <w:sz w:val="18"/>
          <w:szCs w:val="18"/>
          <w:color w:val="auto"/>
        </w:rPr>
        <w:t>,” above.</w:t>
      </w:r>
    </w:p>
    <w:p>
      <w:pPr>
        <w:spacing w:after="0" w:line="9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Upon retirement or separation from service for reasons that do not trigger the contractually-provided severance benefits under the terms of their respective employment agreements or key executive benefit package agreements, as applicable, NEOs are entitled to certain accrued benefits and payments generally afforded other employees.</w:t>
      </w:r>
    </w:p>
    <w:p>
      <w:pPr>
        <w:spacing w:after="0" w:line="9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table below provides estimates for compensation payable to each of our NEOs under hypothetical termination of employment and change in control scenarios under our compensatory arrangements other than nondiscriminatory arrangements generally available to salaried employees. Due to the number of factors and assumptions that can affect the nature and amount of any benefits provided upon the events discussed below, any amounts paid or distributed upon an actual event may differ.</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the hypothetical payment estimates shown in the below table, some of the important assumptions were:</w:t>
      </w:r>
    </w:p>
    <w:p>
      <w:pPr>
        <w:spacing w:after="0" w:line="14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rate of base salary as of June 30, 2016;</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 of all stock options (whose vesting is accelerated) at their then intrinsic value as of June 30, 2016;</w:t>
      </w:r>
    </w:p>
    <w:p>
      <w:pPr>
        <w:spacing w:after="0" w:line="14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as provided under the NEO's employment agreement or key executive benefit package agreement, as applicable, in effect as of June 30, 2016;</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occurring on June 30, 2016;</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occurring on June 30, 2016;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per share of $13.60 which was the closing price of our common stock on June 30, 2016, the final trading day of fiscal 2016.</w:t>
      </w:r>
    </w:p>
    <w:p>
      <w:pPr>
        <w:spacing w:after="0" w:line="14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Each of the columns in the table below show the total hypothetical payment estimate upon a specified event and the amounts in the columns should not be aggregated across the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4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Involuntary Termination within 12 months after a Change</w:t>
            </w:r>
          </w:p>
        </w:tc>
      </w:tr>
      <w:tr>
        <w:trPr>
          <w:trHeight w:val="238"/>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Termination ($)(1)</w:t>
            </w:r>
          </w:p>
        </w:tc>
        <w:tc>
          <w:tcPr>
            <w:tcW w:w="4560" w:type="dxa"/>
            <w:vAlign w:val="bottom"/>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in Control ($)(2)</w:t>
            </w:r>
          </w:p>
        </w:tc>
      </w:tr>
      <w:tr>
        <w:trPr>
          <w:trHeight w:val="27"/>
        </w:trPr>
        <w:tc>
          <w:tcPr>
            <w:tcW w:w="4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Darren Jensen</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 salary continuation</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Acceleration of vesting of equity awards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4,023,657</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4,573,657</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Mark Jaggi</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 salary continuation</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Acceleration of vesting of equity awards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625,600</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Robert M. Urban</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 salary continuation</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370,000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Acceleration of vesting of equity awards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1,008,998</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370,000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494,345</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Justin Rose</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 salary continuation</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Acceleration of vesting of equity awards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625,600</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Michelle Oborn-Virchow</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 salary continuation</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126,500</w:t>
            </w:r>
          </w:p>
        </w:tc>
        <w:tc>
          <w:tcPr>
            <w:tcW w:w="2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126,500</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Acceleration of vesting of equity awards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653,453</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126,500</w:t>
            </w:r>
          </w:p>
        </w:tc>
        <w:tc>
          <w:tcPr>
            <w:tcW w:w="200" w:type="dxa"/>
            <w:vAlign w:val="bottom"/>
            <w:shd w:val="clear" w:color="auto" w:fill="CCEEFF"/>
          </w:tcPr>
          <w:p>
            <w:pPr>
              <w:spacing w:after="0"/>
              <w:rPr>
                <w:sz w:val="21"/>
                <w:szCs w:val="21"/>
                <w:color w:val="auto"/>
              </w:rPr>
            </w:pPr>
          </w:p>
        </w:tc>
        <w:tc>
          <w:tcPr>
            <w:tcW w:w="4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126,500</w:t>
            </w: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- 67-</w:t>
      </w:r>
    </w:p>
    <w:p>
      <w:pPr>
        <w:sectPr>
          <w:pgSz w:w="11900" w:h="16838" w:orient="portrait"/>
          <w:cols w:equalWidth="0" w:num="1">
            <w:col w:w="11420"/>
          </w:cols>
          <w:pgMar w:left="240" w:top="576" w:right="239" w:bottom="1440" w:gutter="0" w:footer="0" w:header="0"/>
          <w:type w:val="continuous"/>
        </w:sectPr>
      </w:pPr>
    </w:p>
    <w:bookmarkStart w:id="67" w:name="page68"/>
    <w:bookmarkEnd w:id="67"/>
    <w:p>
      <w:pPr>
        <w:ind w:left="660" w:right="4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table, an involuntary termination consists of our termination of their respective employment without cause or their resignation for good reason. See </w:t>
      </w:r>
      <w:r>
        <w:rPr>
          <w:rFonts w:ascii="Times New Roman" w:cs="Times New Roman" w:eastAsia="Times New Roman" w:hAnsi="Times New Roman"/>
          <w:sz w:val="18"/>
          <w:szCs w:val="18"/>
          <w:i w:val="1"/>
          <w:iCs w:val="1"/>
          <w:color w:val="auto"/>
        </w:rPr>
        <w:t>“Compensation Discussion and Analysis-Part III-Other Matters-Employment Agreements”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Analysis-Part III-Other Matters-Severance or Change-in-Control Agreements</w:t>
      </w:r>
      <w:r>
        <w:rPr>
          <w:rFonts w:ascii="Times New Roman" w:cs="Times New Roman" w:eastAsia="Times New Roman" w:hAnsi="Times New Roman"/>
          <w:sz w:val="18"/>
          <w:szCs w:val="18"/>
          <w:color w:val="auto"/>
        </w:rPr>
        <w:t>,” above.</w:t>
      </w:r>
    </w:p>
    <w:p>
      <w:pPr>
        <w:spacing w:after="0" w:line="95" w:lineRule="exact"/>
        <w:rPr>
          <w:rFonts w:ascii="Times New Roman" w:cs="Times New Roman" w:eastAsia="Times New Roman" w:hAnsi="Times New Roman"/>
          <w:sz w:val="18"/>
          <w:szCs w:val="18"/>
          <w:color w:val="auto"/>
        </w:rPr>
      </w:pPr>
    </w:p>
    <w:p>
      <w:pPr>
        <w:ind w:left="660" w:right="44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an involuntary termination within 12 months after a change in control consists of, with respect to Messrs. Jensen and Urban, the termination of their respective employment without cause or their resignation for good reason. See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Analysis-Part III-Other Matters-Employment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Discussion and Analysis-Part III-Other Matters-Severance or Change-in-Control Agreements</w:t>
      </w:r>
      <w:r>
        <w:rPr>
          <w:rFonts w:ascii="Times New Roman" w:cs="Times New Roman" w:eastAsia="Times New Roman" w:hAnsi="Times New Roman"/>
          <w:sz w:val="18"/>
          <w:szCs w:val="18"/>
          <w:color w:val="auto"/>
        </w:rPr>
        <w:t>,” above.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current members of the compensation committee are Messrs. Beindorff, Manovich and Metzger, with Mr. Metzger serving as chair. Our board of directors has determined that all three members of the compensation committee qualify as "independent" under NASDAQ Rules. Mr. Manovich was a member of the compensation committee during fiscal 2015 until he was appointed as our interim Executive Vice Chairman on February 2, 2015. Concurrently with his appointment, he was removed from the compensation committee. Mr. Manovich remained our interim Executive Vice Chairman through May 17, 2015, and he was reappointed to the compensation committee by our board of directors on July 28, 2015. Except for Mr. Manovich’s period of service as our interim Executive Vice Chairman, none of the members of our compensation committee have at any time been an officer or employee of ours or any of our subsidiaries. There are no interlocking relationships between any of our executive officers and compensation committee members, on the one hand, and the executive officers and compensation committee members of any other companies, on the other hand, nor have any such interlocking relationships existed in the past.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report has been submitted by the compensation committee of our board of directors:</w:t>
      </w:r>
    </w:p>
    <w:p>
      <w:pPr>
        <w:spacing w:after="0" w:line="144"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our Compensation Discussion and Analysis with management. Based on this review and discussion, the compensation committee recommended to the board of directors that the Compensation Discussion and Analysis be included in this Annual Report on Form 10-K for the fiscal year ended June 30, 2016.</w:t>
      </w:r>
    </w:p>
    <w:p>
      <w:pPr>
        <w:spacing w:after="0" w:line="25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3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George E. Metzger, Chair</w:t>
      </w:r>
    </w:p>
    <w:p>
      <w:pPr>
        <w:spacing w:after="0" w:line="6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Michael Beindorff</w:t>
      </w:r>
    </w:p>
    <w:p>
      <w:pPr>
        <w:spacing w:after="0" w:line="6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David S. Manovich</w:t>
      </w:r>
    </w:p>
    <w:p>
      <w:pPr>
        <w:spacing w:after="0" w:line="169"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preceding “Compensation Committee Report” shall not be deemed soliciting material or filed with the SEC, nor shall any information in this report be incorporated by reference into any past or future filing under the Securities Act of 1933, as amended, or the Securities Exchange Act of 1934, as amended, except to the extent the company specifically incorporates it by reference into such filing.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w:t>
      </w:r>
    </w:p>
    <w:p>
      <w:pPr>
        <w:spacing w:after="0" w:line="144" w:lineRule="exact"/>
        <w:rPr>
          <w:sz w:val="20"/>
          <w:szCs w:val="20"/>
          <w:color w:val="auto"/>
        </w:rPr>
      </w:pPr>
    </w:p>
    <w:p>
      <w:pPr>
        <w:jc w:val="both"/>
        <w:ind w:right="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Effective October 31, 2015, each non-employee director receives a monthly retainer for their service as directors as follows: $5,500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chairman of our board of directors and the chairs of our audit and compensation committees and $5,000 for all other non-employee directors.</w:t>
      </w:r>
    </w:p>
    <w:p>
      <w:pPr>
        <w:spacing w:after="0" w:line="77"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As amended, and effective as of our fiscal 2016 annual meeting of shareholders, each non-employee director will receive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annual equity awards in connection with each annual meeting of our shareholders or initial equity award upon joining our board of directors:</w:t>
      </w:r>
    </w:p>
    <w:p>
      <w:pPr>
        <w:spacing w:after="0" w:line="79" w:lineRule="exact"/>
        <w:rPr>
          <w:sz w:val="20"/>
          <w:szCs w:val="20"/>
          <w:color w:val="auto"/>
        </w:rPr>
      </w:pPr>
    </w:p>
    <w:p>
      <w:pPr>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Awards - On the date of the next regular annual meeting of shareholders after the annual meeting of shareholders at which a continuing non-employee director is re-elected (the “Election Date”) (for example, for continuing non-employee directors re-elected at and having an Election Date of the fiscal 2016 annual meeting of shareholders, the fiscal 2017 annual meeting of shareholders), each such continuing non-employee director who continues to serve as a member of our board of directors immediately prior to the next regular annual meeting of</w:t>
      </w:r>
    </w:p>
    <w:p>
      <w:pPr>
        <w:spacing w:after="0" w:line="342"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80" w:right="239" w:bottom="1440" w:gutter="0" w:footer="0" w:header="0"/>
        </w:sectPr>
      </w:pPr>
    </w:p>
    <w:bookmarkStart w:id="68" w:name="page69"/>
    <w:bookmarkEnd w:id="68"/>
    <w:p>
      <w:pPr>
        <w:ind w:left="660"/>
        <w:spacing w:after="0" w:line="308" w:lineRule="auto"/>
        <w:rPr>
          <w:sz w:val="20"/>
          <w:szCs w:val="20"/>
          <w:color w:val="auto"/>
        </w:rPr>
      </w:pPr>
      <w:r>
        <w:rPr>
          <w:rFonts w:ascii="Times New Roman" w:cs="Times New Roman" w:eastAsia="Times New Roman" w:hAnsi="Times New Roman"/>
          <w:sz w:val="18"/>
          <w:szCs w:val="18"/>
          <w:color w:val="auto"/>
        </w:rPr>
        <w:t>shareholders following the Election Date will receive a fully vested stock award for a number of shares of our common stock determined as follows: $75,000 divided by the “average stock price” and rounded down to the nearest whole share, with the “average stock price” calculated by averaging the closing prices of a share of our common stock on the last trading day of the calendar month (each, a “Month End”) for each Month End occurring between the Election Date and date of the next regular annual meeting of shareholders.</w:t>
      </w:r>
    </w:p>
    <w:p>
      <w:pPr>
        <w:spacing w:after="0" w:line="72" w:lineRule="exact"/>
        <w:rPr>
          <w:sz w:val="20"/>
          <w:szCs w:val="20"/>
          <w:color w:val="auto"/>
        </w:rPr>
      </w:pPr>
    </w:p>
    <w:p>
      <w:pPr>
        <w:ind w:left="660" w:right="140" w:hanging="328"/>
        <w:spacing w:after="0" w:line="281"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Equity Awards - On the one year anniversary of the non-employee director joining our board of directors, each new non-employee director will receive an award for that number of shares of our common stock determined as follows: $150,000 divided by the “average stock price” and rounded down to the nearest whole share, with the “average stock price” calculated by averaging the closing prices of a share of our common stock on the last trading day of the month for each of the twelve months prior to the one year anniversary of the non-employee director joining our board.</w:t>
      </w:r>
    </w:p>
    <w:p>
      <w:pPr>
        <w:spacing w:after="0" w:line="82"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Director Compensation. </w:t>
      </w:r>
      <w:r>
        <w:rPr>
          <w:rFonts w:ascii="Times New Roman" w:cs="Times New Roman" w:eastAsia="Times New Roman" w:hAnsi="Times New Roman"/>
          <w:sz w:val="18"/>
          <w:szCs w:val="18"/>
          <w:color w:val="auto"/>
        </w:rPr>
        <w:t>Our directors who are also our employees receive no additional compensation for their service on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compensation we paid to our non-employee directors for fiscal 2016.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3"/>
                <w:szCs w:val="13"/>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19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100" w:type="dxa"/>
            <w:vAlign w:val="bottom"/>
            <w:vMerge w:val="restart"/>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00" w:type="dxa"/>
            <w:vAlign w:val="bottom"/>
            <w:vMerge w:val="restart"/>
          </w:tcPr>
          <w:p>
            <w:pPr>
              <w:spacing w:after="0"/>
              <w:rPr>
                <w:sz w:val="13"/>
                <w:szCs w:val="13"/>
                <w:color w:val="auto"/>
              </w:rPr>
            </w:pPr>
          </w:p>
        </w:tc>
        <w:tc>
          <w:tcPr>
            <w:tcW w:w="194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Michael A. Beindorff</w:t>
            </w:r>
          </w:p>
        </w:tc>
        <w:tc>
          <w:tcPr>
            <w:tcW w:w="1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265"/>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Dave Manovich</w:t>
            </w:r>
          </w:p>
        </w:tc>
        <w:tc>
          <w:tcPr>
            <w:tcW w:w="1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tcPr>
          <w:p>
            <w:pPr>
              <w:spacing w:after="0"/>
              <w:rPr>
                <w:sz w:val="23"/>
                <w:szCs w:val="23"/>
                <w:color w:val="auto"/>
              </w:rPr>
            </w:pP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275"/>
        </w:trPr>
        <w:tc>
          <w:tcPr>
            <w:tcW w:w="3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Garry Mauro</w:t>
            </w:r>
          </w:p>
        </w:tc>
        <w:tc>
          <w:tcPr>
            <w:tcW w:w="1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69,500</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144,500</w:t>
            </w:r>
          </w:p>
        </w:tc>
        <w:tc>
          <w:tcPr>
            <w:tcW w:w="0" w:type="dxa"/>
            <w:vAlign w:val="bottom"/>
          </w:tcPr>
          <w:p>
            <w:pPr>
              <w:spacing w:after="0"/>
              <w:rPr>
                <w:sz w:val="1"/>
                <w:szCs w:val="1"/>
                <w:color w:val="auto"/>
              </w:rPr>
            </w:pPr>
          </w:p>
        </w:tc>
      </w:tr>
      <w:tr>
        <w:trPr>
          <w:trHeight w:val="265"/>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George E. Metzger</w:t>
            </w:r>
          </w:p>
        </w:tc>
        <w:tc>
          <w:tcPr>
            <w:tcW w:w="1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63,500</w:t>
            </w:r>
          </w:p>
        </w:tc>
        <w:tc>
          <w:tcPr>
            <w:tcW w:w="120" w:type="dxa"/>
            <w:vAlign w:val="bottom"/>
          </w:tcPr>
          <w:p>
            <w:pPr>
              <w:spacing w:after="0"/>
              <w:rPr>
                <w:sz w:val="23"/>
                <w:szCs w:val="23"/>
                <w:color w:val="auto"/>
              </w:rPr>
            </w:pP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138,500</w:t>
            </w:r>
          </w:p>
        </w:tc>
        <w:tc>
          <w:tcPr>
            <w:tcW w:w="0" w:type="dxa"/>
            <w:vAlign w:val="bottom"/>
          </w:tcPr>
          <w:p>
            <w:pPr>
              <w:spacing w:after="0"/>
              <w:rPr>
                <w:sz w:val="1"/>
                <w:szCs w:val="1"/>
                <w:color w:val="auto"/>
              </w:rPr>
            </w:pPr>
          </w:p>
        </w:tc>
      </w:tr>
      <w:tr>
        <w:trPr>
          <w:trHeight w:val="275"/>
        </w:trPr>
        <w:tc>
          <w:tcPr>
            <w:tcW w:w="3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Richard Okumoto</w:t>
            </w:r>
          </w:p>
        </w:tc>
        <w:tc>
          <w:tcPr>
            <w:tcW w:w="1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63,500</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138,500</w:t>
            </w:r>
          </w:p>
        </w:tc>
        <w:tc>
          <w:tcPr>
            <w:tcW w:w="0" w:type="dxa"/>
            <w:vAlign w:val="bottom"/>
          </w:tcPr>
          <w:p>
            <w:pPr>
              <w:spacing w:after="0"/>
              <w:rPr>
                <w:sz w:val="1"/>
                <w:szCs w:val="1"/>
                <w:color w:val="auto"/>
              </w:rPr>
            </w:pPr>
          </w:p>
        </w:tc>
      </w:tr>
      <w:tr>
        <w:trPr>
          <w:trHeight w:val="260"/>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David Toole</w:t>
            </w:r>
          </w:p>
        </w:tc>
        <w:tc>
          <w:tcPr>
            <w:tcW w:w="1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22"/>
                <w:szCs w:val="22"/>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20" w:hanging="328"/>
        <w:spacing w:after="0" w:line="256" w:lineRule="auto"/>
        <w:tabs>
          <w:tab w:leader="none" w:pos="5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granted to Directors during Fiscal 2016. Prior to Fiscal 2016, equity awards were granted to non-employee Directors at the annual shareholder meeting and vested upon the following annual shareholder meeting date provided the Director continued in service through that date. Effective with the Fiscal 2016 annual shareholder meeting, the equity awards to non-employee Directors will be granted after the following annual shareholder meeting as compensation for the prior year's service. As an example, a non-employee director that served from the fiscal 2016 annual shareholder meeting until the fiscal 2017 annual meeting will receive a fully vested award based on that service, granted upon the date of our fiscal 2017 annual shareholder meeting.</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unexercised stock options, all of which are fully vested, held by our non-employee directors as of June 30, 2016:</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2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1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 Exercise</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Unexercised Options (#) Exercisable</w:t>
            </w: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Unexercised Options (#) Unexercisable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55"/>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Michael A. Beindorff</w:t>
            </w:r>
          </w:p>
        </w:tc>
        <w:tc>
          <w:tcPr>
            <w:tcW w:w="2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14,286</w:t>
            </w:r>
          </w:p>
        </w:tc>
        <w:tc>
          <w:tcPr>
            <w:tcW w:w="12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65"/>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Dave Manovich</w:t>
            </w:r>
          </w:p>
        </w:tc>
        <w:tc>
          <w:tcPr>
            <w:tcW w:w="2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14,286</w:t>
            </w:r>
          </w:p>
        </w:tc>
        <w:tc>
          <w:tcPr>
            <w:tcW w:w="1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Garry Mauro</w:t>
            </w:r>
          </w:p>
        </w:tc>
        <w:tc>
          <w:tcPr>
            <w:tcW w:w="2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14,286</w:t>
            </w: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65"/>
        </w:trPr>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17,143</w:t>
            </w:r>
          </w:p>
        </w:tc>
        <w:tc>
          <w:tcPr>
            <w:tcW w:w="120" w:type="dxa"/>
            <w:vAlign w:val="bottom"/>
          </w:tcPr>
          <w:p>
            <w:pPr>
              <w:spacing w:after="0"/>
              <w:rPr>
                <w:sz w:val="23"/>
                <w:szCs w:val="23"/>
                <w:color w:val="auto"/>
              </w:rPr>
            </w:pPr>
          </w:p>
        </w:tc>
        <w:tc>
          <w:tcPr>
            <w:tcW w:w="272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17,143</w:t>
            </w: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65"/>
        </w:trPr>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17,143</w:t>
            </w:r>
          </w:p>
        </w:tc>
        <w:tc>
          <w:tcPr>
            <w:tcW w:w="120" w:type="dxa"/>
            <w:vAlign w:val="bottom"/>
          </w:tcPr>
          <w:p>
            <w:pPr>
              <w:spacing w:after="0"/>
              <w:rPr>
                <w:sz w:val="23"/>
                <w:szCs w:val="23"/>
                <w:color w:val="auto"/>
              </w:rPr>
            </w:pPr>
          </w:p>
        </w:tc>
        <w:tc>
          <w:tcPr>
            <w:tcW w:w="272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14,286</w:t>
            </w: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November 30, 2016 by: (i) each director; (ii) each of our named executive officers; and (iii) all of our executive officers and directors as a group. As of November 30, 2016, other than those individuals listed on the chart below, no other individuals were known to us to own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w:t>
      </w:r>
    </w:p>
    <w:p>
      <w:pPr>
        <w:sectPr>
          <w:pgSz w:w="11900" w:h="16838" w:orient="portrait"/>
          <w:cols w:equalWidth="0" w:num="1">
            <w:col w:w="11420"/>
          </w:cols>
          <w:pgMar w:left="240" w:top="607" w:right="239" w:bottom="1440" w:gutter="0" w:footer="0" w:header="0"/>
        </w:sectPr>
      </w:pPr>
    </w:p>
    <w:bookmarkStart w:id="69" w:name="page70"/>
    <w:bookmarkEnd w:id="69"/>
    <w:p>
      <w:pPr>
        <w:ind w:right="20"/>
        <w:spacing w:after="0" w:line="282" w:lineRule="auto"/>
        <w:rPr>
          <w:sz w:val="20"/>
          <w:szCs w:val="20"/>
          <w:color w:val="auto"/>
        </w:rPr>
      </w:pPr>
      <w:r>
        <w:rPr>
          <w:rFonts w:ascii="Times New Roman" w:cs="Times New Roman" w:eastAsia="Times New Roman" w:hAnsi="Times New Roman"/>
          <w:sz w:val="18"/>
          <w:szCs w:val="18"/>
          <w:color w:val="auto"/>
        </w:rPr>
        <w:t>beneficially more than five percent of our common stock. The shares disclosed in this table are based upon information supplied to us by the foregoing parties and filings made by such parties with the SEC.</w:t>
      </w:r>
    </w:p>
    <w:p>
      <w:pPr>
        <w:spacing w:after="0" w:line="8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noted, the address for each person listed below is c/o LifeVantage Corporation, 9785 South Monroe Street, Suite 300, Sandy, Utah 84070.</w:t>
      </w:r>
    </w:p>
    <w:p>
      <w:pPr>
        <w:spacing w:after="0" w:line="8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percentages of beneficial ownership set forth below are based on 14,057,722 shares of our common stock issued and outstanding as of November 30,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Owner(1)</w:t>
            </w:r>
          </w:p>
        </w:tc>
        <w:tc>
          <w:tcPr>
            <w:tcW w:w="2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4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Dell Loy Hansen</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711,839</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595 S. Riverwoods Pkwy, Suite 400</w:t>
            </w:r>
          </w:p>
        </w:tc>
        <w:tc>
          <w:tcPr>
            <w:tcW w:w="2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Logan, UT 84321</w:t>
            </w:r>
          </w:p>
        </w:tc>
        <w:tc>
          <w:tcPr>
            <w:tcW w:w="2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A. Beindorff</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44,532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S. Manovich</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113,651</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Garry P. Mauro</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124,998</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George Metzger</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23,929</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Richard Okumoto</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Toole</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Darren J. Jensen</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143,458</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Robert Urban</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64,834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 Jaggi</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15,665</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Justin Rose</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Michelle Oborn-Virchow</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28,091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(12 persons)</w:t>
            </w:r>
          </w:p>
        </w:tc>
        <w:tc>
          <w:tcPr>
            <w:tcW w:w="2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599,452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2280" w:type="dxa"/>
            <w:vAlign w:val="bottom"/>
            <w:shd w:val="clear" w:color="auto" w:fill="CCEEFF"/>
          </w:tcPr>
          <w:p>
            <w:pPr>
              <w:spacing w:after="0"/>
              <w:rPr>
                <w:sz w:val="21"/>
                <w:szCs w:val="2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*Less than one percent.</w:t>
      </w:r>
    </w:p>
    <w:p>
      <w:pPr>
        <w:spacing w:after="0" w:line="144" w:lineRule="exact"/>
        <w:rPr>
          <w:sz w:val="20"/>
          <w:szCs w:val="20"/>
          <w:color w:val="auto"/>
        </w:rPr>
      </w:pPr>
    </w:p>
    <w:p>
      <w:pPr>
        <w:ind w:left="980" w:right="100" w:hanging="486"/>
        <w:spacing w:after="0" w:line="253"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our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This table is based upon information supplied by officers, directors and principal shareholders and Schedules 13D and 13G filed with the SEC. Except as otherwise indicated in these footnotes and subject to community property laws where applicable, each of the beneficial owners has, to our knowledge, sole voting and investment power with respect to the indicated shares of common stock. In accordance with the beneficial ownership rules of the SEC.</w:t>
      </w:r>
    </w:p>
    <w:p>
      <w:pPr>
        <w:spacing w:after="0" w:line="111" w:lineRule="exact"/>
        <w:rPr>
          <w:rFonts w:ascii="Times New Roman" w:cs="Times New Roman" w:eastAsia="Times New Roman" w:hAnsi="Times New Roman"/>
          <w:sz w:val="18"/>
          <w:szCs w:val="18"/>
          <w:color w:val="auto"/>
        </w:rPr>
      </w:pPr>
    </w:p>
    <w:p>
      <w:pPr>
        <w:ind w:left="980" w:right="60" w:hanging="486"/>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 Schedule 13D filed on July 8, 2015, by Dell Loy Hansen and Hansen Guaranty, LLC. According to the Schedule 13D, adjusted for our October 19, 2015 reverse stock split, Dell Loy Hansen has sole voting and dispositive power with respect to 191,000 shares and shared voting and dispositive power with respect to 520,839 shares. Hansen Guaranty, LLC has shared voting and dispositive power with respect to 520,839 shares.</w:t>
      </w:r>
    </w:p>
    <w:p>
      <w:pPr>
        <w:spacing w:after="0" w:line="99" w:lineRule="exact"/>
        <w:rPr>
          <w:rFonts w:ascii="Times New Roman" w:cs="Times New Roman" w:eastAsia="Times New Roman" w:hAnsi="Times New Roman"/>
          <w:sz w:val="18"/>
          <w:szCs w:val="18"/>
          <w:color w:val="auto"/>
        </w:rPr>
      </w:pPr>
    </w:p>
    <w:p>
      <w:pPr>
        <w:ind w:left="980" w:right="40" w:hanging="486"/>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28,857 shares held directly by Mr. Beindorff, 1,143 shares owned by Mr. Beindorff's spouse which he is deemed to beneficially own, 246 shares owned by Mr. Beindorff's spouse in a custodial account for their minor children, which Mr. Beindorff is deemed to beneficially own. Also includes the following shares which Mr. Beindorff has the right to acquire or will have the right to acquire within 60 days of November 30, 2016 upon the exercise of options: 14,286 shares at an exercise price of $9.31 per share.</w:t>
      </w:r>
    </w:p>
    <w:p>
      <w:pPr>
        <w:spacing w:after="0" w:line="342"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ind w:left="980" w:right="80" w:hanging="486"/>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43,649 shares owned in a joint trust account by Mr. Manovich and his spouse, 15,715 shares owned directly by Mr. Manovich, 5,715 shares held in Mr. Manovich's IRA, 34,286 shares owned by Mr. Manovich's spouse, which he is deemed to beneficially own. Also includes the following shares which Mr. Manovich has the right to acquire or will have the right to acquire within 60 days of November 30, 2016 upon the exercise of options: 14,286 shares at an exercise price of $9.31 per share.</w:t>
      </w:r>
    </w:p>
    <w:p>
      <w:pPr>
        <w:spacing w:after="0" w:line="99" w:lineRule="exact"/>
        <w:rPr>
          <w:rFonts w:ascii="Times New Roman" w:cs="Times New Roman" w:eastAsia="Times New Roman" w:hAnsi="Times New Roman"/>
          <w:sz w:val="18"/>
          <w:szCs w:val="18"/>
          <w:color w:val="auto"/>
        </w:rPr>
      </w:pPr>
    </w:p>
    <w:p>
      <w:pPr>
        <w:ind w:left="980" w:right="40" w:hanging="486"/>
        <w:spacing w:after="0" w:line="258"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44,813 shares directly owned by Mr. Mauro, 184 shares owned by Mr. Mauro in a custodial account for his minor children, which he is deemed to beneficially own. Also includes the following shares which Mr. Mauro has the right to acquire or will have the right to acquire within 60 days of November 30, 2016 upon the exercise of options: 14,286 shares at an exercise price of $2.10 per share, 17,143 shares at an exercise price of $1.47 per share, 17,143 shares at an exercise price of $1.75 per share, 17,143 shares at an exercise price of $5.60 per share and 14,286 shares at an exercise price of $9.31 per share.</w:t>
      </w:r>
    </w:p>
    <w:p>
      <w:pPr>
        <w:spacing w:after="0" w:line="10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23,929 shares directly owned by Mr. Metzger.</w:t>
      </w:r>
    </w:p>
    <w:p>
      <w:pPr>
        <w:spacing w:after="0" w:line="14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shares directly owned by Mr. Okumoto.</w:t>
      </w:r>
    </w:p>
    <w:p>
      <w:pPr>
        <w:spacing w:after="0" w:line="14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 shares directly owned by Mr. Jensen and 142,858 shares pursuant to a Restricted Stock Award.</w:t>
      </w:r>
    </w:p>
    <w:p>
      <w:pPr>
        <w:spacing w:after="0" w:line="144" w:lineRule="exact"/>
        <w:rPr>
          <w:rFonts w:ascii="Times New Roman" w:cs="Times New Roman" w:eastAsia="Times New Roman" w:hAnsi="Times New Roman"/>
          <w:sz w:val="18"/>
          <w:szCs w:val="18"/>
          <w:color w:val="auto"/>
        </w:rPr>
      </w:pPr>
    </w:p>
    <w:p>
      <w:pPr>
        <w:ind w:left="980" w:right="100" w:hanging="486"/>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24,738 shares directly owned by Mr. Urban and 9,143 shares pursuant to a Restricted Stock Award. Also includes the following shares which Mr. Urban has the right to acquire or will have the right to acquire within 60 days of November 30, 2016; upon the exercise of 21,429 options at an exercise price of $22.33 per share and upon the vesting of 9,524 PRSUs at a vesting at target.</w:t>
      </w:r>
    </w:p>
    <w:p>
      <w:pPr>
        <w:spacing w:after="0" w:line="9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4,237 shares directly owned by Mr. Jaggi and 11,428 shares pursuant to a Restricted Stock Award.</w:t>
      </w:r>
    </w:p>
    <w:p>
      <w:pPr>
        <w:spacing w:after="0" w:line="14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3,866 shares directly owned by Mr. Rose and 11,428 shares pursuant to a Restricted Stock Award.</w:t>
      </w:r>
    </w:p>
    <w:p>
      <w:pPr>
        <w:spacing w:after="0" w:line="144" w:lineRule="exact"/>
        <w:rPr>
          <w:rFonts w:ascii="Times New Roman" w:cs="Times New Roman" w:eastAsia="Times New Roman" w:hAnsi="Times New Roman"/>
          <w:sz w:val="18"/>
          <w:szCs w:val="18"/>
          <w:color w:val="auto"/>
        </w:rPr>
      </w:pPr>
    </w:p>
    <w:p>
      <w:pPr>
        <w:ind w:left="980" w:right="20" w:hanging="486"/>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11,805 shares directly owned by Ms. Oborn-Virchow and 3,404 shares pursuant to a Restricted Stock Award. Also includes the following shares which Ms. Oborn-Virchow has the right to acquire or will have the right to acquire within 60 days of November 30, 2016; upon the exercise of 1,715 options at an exercise price of $4.90 per share, 1,643 options at an exercise price of $9.80 per share and upon the vesting of 9,524 PRSUs at a vesting at target.</w:t>
      </w:r>
    </w:p>
    <w:p>
      <w:pPr>
        <w:spacing w:after="0" w:line="99" w:lineRule="exact"/>
        <w:rPr>
          <w:rFonts w:ascii="Times New Roman" w:cs="Times New Roman" w:eastAsia="Times New Roman" w:hAnsi="Times New Roman"/>
          <w:sz w:val="18"/>
          <w:szCs w:val="18"/>
          <w:color w:val="auto"/>
        </w:rPr>
      </w:pPr>
    </w:p>
    <w:p>
      <w:pPr>
        <w:ind w:left="1300" w:right="260" w:hanging="806"/>
        <w:spacing w:after="0" w:line="282" w:lineRule="auto"/>
        <w:tabs>
          <w:tab w:leader="none" w:pos="9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447,044 shares directly owned by our executive officers and directors as a group and 152,408 shares which our executive officers and directors as a group have the right to acquire or will have the right to acquire within 60 days of November 30, 2016.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June 30, 2016 with respect to all compensation plans under which shares of our common stock are authorized for issuance.</w:t>
      </w:r>
    </w:p>
    <w:p>
      <w:pPr>
        <w:spacing w:after="0" w:line="243" w:lineRule="exact"/>
        <w:rPr>
          <w:sz w:val="20"/>
          <w:szCs w:val="20"/>
          <w:color w:val="auto"/>
        </w:rPr>
      </w:pPr>
    </w:p>
    <w:p>
      <w:pPr>
        <w:ind w:left="1060"/>
        <w:spacing w:after="0"/>
        <w:tabs>
          <w:tab w:leader="none" w:pos="3780" w:val="left"/>
          <w:tab w:leader="none" w:pos="6880" w:val="left"/>
          <w:tab w:leader="none" w:pos="9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9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Number of securities to be issued</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upon exercise of outstanding options,</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warrants and rights and vesting of</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restricted stock awards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Weighted-average exercise price of outstanding options, warrants and rights ($)</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Number of securities remaining available for future issuance under equity compensation plans (excluding securities reflected in column (b)) (#)</w:t>
      </w:r>
    </w:p>
    <w:p>
      <w:pPr>
        <w:spacing w:after="0" w:line="8" w:lineRule="exact"/>
        <w:rPr>
          <w:sz w:val="20"/>
          <w:szCs w:val="20"/>
          <w:color w:val="auto"/>
        </w:rPr>
      </w:pPr>
    </w:p>
    <w:p>
      <w:pPr>
        <w:sectPr>
          <w:pgSz w:w="11900" w:h="16838" w:orient="portrait"/>
          <w:cols w:equalWidth="0" w:num="3">
            <w:col w:w="5260" w:space="400"/>
            <w:col w:w="2540" w:space="520"/>
            <w:col w:w="270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equity compensation plans</w:t>
            </w:r>
          </w:p>
        </w:tc>
        <w:tc>
          <w:tcPr>
            <w:tcW w:w="24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19"/>
                <w:szCs w:val="19"/>
                <w:color w:val="auto"/>
              </w:rPr>
            </w:pPr>
          </w:p>
        </w:tc>
      </w:tr>
      <w:tr>
        <w:trPr>
          <w:trHeight w:val="26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1,076,067</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2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375,946</w:t>
            </w:r>
          </w:p>
        </w:tc>
      </w:tr>
      <w:tr>
        <w:trPr>
          <w:trHeight w:val="210"/>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r>
      <w:tr>
        <w:trPr>
          <w:trHeight w:val="225"/>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2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34"/>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660" w:right="1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382,760 shares of our common stock that can be issued upon the exercise of outstanding options and 693,307 shares of our common stock that can be issued upon vesting of restricted stock awards and PRSUs.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outstanding restricted stock awards and PRSUs, as those awards have no exercise price.</w:t>
      </w:r>
    </w:p>
    <w:p>
      <w:pPr>
        <w:spacing w:after="0" w:line="387"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type w:val="continuous"/>
        </w:sectPr>
      </w:pPr>
    </w:p>
    <w:bookmarkStart w:id="71" w:name="page72"/>
    <w:bookmarkEnd w:id="71"/>
    <w:p>
      <w:pPr>
        <w:ind w:right="2320"/>
        <w:spacing w:after="0" w:line="409" w:lineRule="auto"/>
        <w:rPr>
          <w:sz w:val="20"/>
          <w:szCs w:val="20"/>
          <w:color w:val="auto"/>
        </w:rPr>
      </w:pPr>
      <w:r>
        <w:rPr>
          <w:rFonts w:ascii="Times New Roman" w:cs="Times New Roman" w:eastAsia="Times New Roman" w:hAnsi="Times New Roman"/>
          <w:sz w:val="18"/>
          <w:szCs w:val="18"/>
          <w:b w:val="1"/>
          <w:bCs w:val="1"/>
          <w:color w:val="auto"/>
        </w:rPr>
        <w:t>ITEM 13 — CERTAIN RELATIONSHIP AND RELATED TRANSACTIONS, AND DIRECTORS INDEPENDENCE Related-Party Transactions Policies and Procedures</w:t>
      </w:r>
    </w:p>
    <w:p>
      <w:pPr>
        <w:spacing w:after="0" w:line="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Related-party transactions have the potential to create actual or perceived conflicts of interest between our company and our directors and executive officers or their immediate family members. Under its charter, our audit committee is charged with the responsibility of reviewing and approving all related-party transactions. To assist in identifying such transactions for our fiscal year ended June 30, 2016, we distributed questionnaires to each of our directors and officers.</w:t>
      </w:r>
    </w:p>
    <w:p>
      <w:pPr>
        <w:spacing w:after="0" w:line="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Although we do not have a formal policy with regard to approving related-party transactions, our audit committee may consider the following factors when deciding whether to approve a related-party transaction: the nature of the related party's interest in the transaction; the material terms of the transaction, including, without limitation, the amount and type of the transaction; the importance of the transaction to the related party; whether the transaction would impair the judgment of a director or executive officer to act in our best interests; and any other matters deemed appropriate by our audit committee.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Related-Party Transactions</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last fiscal year, there have been two transactions or series of similar transactions to which the Company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9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2016, Dinng, a brand and digital brand studio, provided branding and marketing services to the Company pursuant to an Agreement for Services dated August 18, 2015 between the Company and Dinng, in the amount of $0.5 million. Our Chief Marketing Officer, Ryan Goodwin, is the founder of Dinng and currently serves as Dinng’s President and Creative Director. Mr. Goodwin and his wife are both salaried employees at Dinng.</w:t>
      </w:r>
    </w:p>
    <w:p>
      <w:pPr>
        <w:spacing w:after="0" w:line="95"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Effective January 2014, we commenced a partnership with Real Salt Lake of Major League Soccer, which includes the placement of our logo on the front of the team’s jersey as well as strategic placement of our logo around the stadium and on televised broadcasts of the games. In July 2015, Dell Loy Hansen, the sole owner of Real Salt Lake and Real Monarchs SLC, became a 5% stockholder of the Company. For fiscal 2016, we paid $2.6 million to Real Salt Lake, pursuant to the terms of our partnership, an additional $0.1 million for an endorsement of Real Monarchs SLC and $0.1 million for product marketing.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NASDAQ Stock Market Rules, or NASDAQ Rules, require that a majority of the members of our board of directors qualify as "independent," as affirmatively determined by our board of directors. Our board of directors has determined that each of Messrs. Beindorff, Manovich, Mauro, Metzger, Okumoto and Toole is an “independent director” under NASDAQ Rules. In making its determination that Mr. Toole is an “independent director” under NASDAQ Rules, our board of directors took into consideration two agreements between the Company and entities affiliated with Mr. Toole, pursuant to which such entities are providing consulting advice to the Company. These related-party agreements were approved by the audit committee of our board of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ACCOUNTING FEES AND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EKS&amp;H LLLP (“EKS&amp;H”) audited the Company's consolidated financial statements for the fiscal year ended June 30, 2015 and reviewed the subsequent interim quarterly filings for the periods ended September 30, 2015 and December 31, 2015. On April 8, 2016 LifeVantage dismissed EKS&amp;H as the Company's independent registered public accounting firm. The reports of EKS&amp;H on the Company’s consolidated financial statements as of and for the fiscal years ended June 30, 2015 and June 30, 2014 and the effectiveness of internal control over financial reporting as of June 30, 2015 and 2014, did not contain any adverse opinion or disclaimer of opinion, nor were they qualified or modified as to uncertainty, audit scope or accounting principle. In connection with the audits of the Company’s financial statements for fiscal years ended June 30, 2015 and June 30, 2014 and in the subsequent interim periods through April 8, 2016, there were no disagreements with EKS&amp;H on any matters of accounting principles or practices, financial statement disclosure or auditing scope or procedure, which, if not resolved to the satisfaction of EKS&amp;H, would have caused EKS&amp;H to make reference to the matter in their report. In addition, during the fiscal years ended June 30, 2015 and 2014 and the subsequent interim period through April 8, 2016, there were no reportable events described under Item 304(a)(1)(v) of Regulation S-K.</w:t>
      </w:r>
    </w:p>
    <w:p>
      <w:pPr>
        <w:spacing w:after="0" w:line="105" w:lineRule="exact"/>
        <w:rPr>
          <w:sz w:val="20"/>
          <w:szCs w:val="20"/>
          <w:color w:val="auto"/>
        </w:rPr>
      </w:pPr>
    </w:p>
    <w:p>
      <w:pPr>
        <w:jc w:val="both"/>
        <w:ind w:right="700" w:firstLine="324"/>
        <w:spacing w:after="0" w:line="266" w:lineRule="auto"/>
        <w:rPr>
          <w:sz w:val="20"/>
          <w:szCs w:val="20"/>
          <w:color w:val="auto"/>
        </w:rPr>
      </w:pPr>
      <w:r>
        <w:rPr>
          <w:rFonts w:ascii="Times New Roman" w:cs="Times New Roman" w:eastAsia="Times New Roman" w:hAnsi="Times New Roman"/>
          <w:sz w:val="18"/>
          <w:szCs w:val="18"/>
          <w:color w:val="auto"/>
        </w:rPr>
        <w:t>Effective as of April 12, 2016, the Audit Committee of the Company’s Board of Directors engaged BDO USA, LLP (“BDO”) as the Company’s independent registered public accounting firm for the fiscal year ending June 30, 2016. On July 7, 2016, the Audit Committee dismissed BDO as the Company’s independent registered public accounting firm, effective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w:t>
      </w:r>
    </w:p>
    <w:p>
      <w:pPr>
        <w:sectPr>
          <w:pgSz w:w="11900" w:h="16838" w:orient="portrait"/>
          <w:cols w:equalWidth="0" w:num="1">
            <w:col w:w="11420"/>
          </w:cols>
          <w:pgMar w:left="240" w:top="576" w:right="23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t>immediately, due to BDO’s determination that it was not independent of the Company with respect to the Company’s fiscal year ended June 30, 2016 and not for any reason related to the Company’s financial reporting or accounting operations or policies. BDO concluded that it was not independent of the Company with respect to fiscal 2016 because, during fiscal 2016 but prior to BDO’s appointment as the Company’s independent registered public accounting firm, a firm in the BDO international network had provided certain prohibited non-audit services as a subcontractor to a third party contractor who had been engaged to provide payroll services to an international subsidiary of the Company. BDO was engaged by the Company on April 12, 2016 and as a result did not deliver an audit report on the financial statements of the Company for the fiscal years ended June 30, 2014 or 2015. At no point during BDO’s engagement were there any (i) disagreements with BDO on any matter of accounting principles or practices, financial statement disclosure or auditing scope or procedure, which, if not resolved to the satisfaction of BDO would have caused it to make reference to the subject matter of the disagreement in connection with its report, or (ii) “reportable events” as defined in Item 304(a)(1)(v) of Regulation S-K.</w:t>
      </w:r>
    </w:p>
    <w:p>
      <w:pPr>
        <w:spacing w:after="0" w:line="10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Effective as of July 11, 2016, the Audit Committee of the Company’s Board of Directors engaged WSRP, LLC as the Company’s independent registered public accounting firm for the interim periods subsequent to the dismissals of EKS&amp;H and BDO and for the fiscal year ended June 30, 2016.</w:t>
      </w:r>
    </w:p>
    <w:p>
      <w:pPr>
        <w:spacing w:after="0" w:line="8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EKS&amp;H LLLP during interim periods of fiscal year 2016 and for the fiscal year ended June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EKS&amp;H LLLP</w:t>
            </w:r>
          </w:p>
        </w:tc>
        <w:tc>
          <w:tcPr>
            <w:tcW w:w="140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June 30,</w:t>
            </w:r>
          </w:p>
        </w:tc>
        <w:tc>
          <w:tcPr>
            <w:tcW w:w="1400" w:type="dxa"/>
            <w:vAlign w:val="bottom"/>
          </w:tcPr>
          <w:p>
            <w:pPr>
              <w:spacing w:after="0"/>
              <w:rPr>
                <w:sz w:val="20"/>
                <w:szCs w:val="20"/>
                <w:color w:val="auto"/>
              </w:rPr>
            </w:pPr>
          </w:p>
        </w:tc>
      </w:tr>
      <w:tr>
        <w:trPr>
          <w:trHeight w:val="270"/>
        </w:trPr>
        <w:tc>
          <w:tcPr>
            <w:tcW w:w="65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6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Fees(1)</w:t>
            </w:r>
          </w:p>
        </w:tc>
        <w:tc>
          <w:tcPr>
            <w:tcW w:w="140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243,895</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Audit-Related Fees(2)</w:t>
            </w:r>
          </w:p>
        </w:tc>
        <w:tc>
          <w:tcPr>
            <w:tcW w:w="14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7"/>
        </w:trPr>
        <w:tc>
          <w:tcPr>
            <w:tcW w:w="6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Fees(3)</w:t>
            </w:r>
          </w:p>
        </w:tc>
        <w:tc>
          <w:tcPr>
            <w:tcW w:w="1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74,636</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14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159,695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338,531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60" w:right="2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annual financial statements and internal control over financial reporting and the review of interim financial statements.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the audit of our employee benefit plan.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consisted of fees billed for professional services for tax compliance, tax advice and tax planning.</w:t>
      </w:r>
    </w:p>
    <w:p>
      <w:pPr>
        <w:spacing w:after="0" w:line="200" w:lineRule="exact"/>
        <w:rPr>
          <w:sz w:val="20"/>
          <w:szCs w:val="20"/>
          <w:color w:val="auto"/>
        </w:rPr>
      </w:pPr>
    </w:p>
    <w:p>
      <w:pPr>
        <w:spacing w:after="0" w:line="29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BDO USA, LLP during the interim period of fiscal year 2016. There were no audit arrangements with BDO USA, LLP during the fiscal year ended June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June 30,</w:t>
            </w:r>
          </w:p>
        </w:tc>
      </w:tr>
      <w:tr>
        <w:trPr>
          <w:trHeight w:val="238"/>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BDO USA, LLP</w:t>
            </w:r>
          </w:p>
        </w:tc>
        <w:tc>
          <w:tcPr>
            <w:tcW w:w="160" w:type="dxa"/>
            <w:vAlign w:val="bottom"/>
          </w:tcPr>
          <w:p>
            <w:pPr>
              <w:spacing w:after="0"/>
              <w:rPr>
                <w:sz w:val="20"/>
                <w:szCs w:val="20"/>
                <w:color w:val="auto"/>
              </w:rPr>
            </w:pPr>
          </w:p>
        </w:tc>
        <w:tc>
          <w:tcPr>
            <w:tcW w:w="22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 Fees(1)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tcPr>
          <w:p>
            <w:pPr>
              <w:spacing w:after="0"/>
              <w:rPr>
                <w:sz w:val="21"/>
                <w:szCs w:val="21"/>
                <w:color w:val="auto"/>
              </w:rPr>
            </w:pPr>
          </w:p>
        </w:tc>
        <w:tc>
          <w:tcPr>
            <w:tcW w:w="2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Audit Fees consist of fees billed for the review of interim financial statements.</w:t>
      </w:r>
    </w:p>
    <w:p>
      <w:pPr>
        <w:spacing w:after="0" w:line="144"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WSRP, LLC for fiscal year ended June 30, 2016. There were no audit arrangements with WSRP, LLC during the fiscal year ended June 30, 2015.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w:t>
      </w:r>
    </w:p>
    <w:p>
      <w:pPr>
        <w:sectPr>
          <w:pgSz w:w="11900" w:h="16838" w:orient="portrait"/>
          <w:cols w:equalWidth="0" w:num="1">
            <w:col w:w="11420"/>
          </w:cols>
          <w:pgMar w:left="240" w:top="58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 ended June 30,</w:t>
            </w:r>
          </w:p>
        </w:tc>
      </w:tr>
      <w:tr>
        <w:trPr>
          <w:trHeight w:val="238"/>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WSRP, LLC</w:t>
            </w:r>
          </w:p>
        </w:tc>
        <w:tc>
          <w:tcPr>
            <w:tcW w:w="160" w:type="dxa"/>
            <w:vAlign w:val="bottom"/>
          </w:tcPr>
          <w:p>
            <w:pPr>
              <w:spacing w:after="0"/>
              <w:rPr>
                <w:sz w:val="20"/>
                <w:szCs w:val="20"/>
                <w:color w:val="auto"/>
              </w:rPr>
            </w:pPr>
          </w:p>
        </w:tc>
        <w:tc>
          <w:tcPr>
            <w:tcW w:w="22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 Fees(1)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178,217</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Audit-Related Fees(2)</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Fees(3)</w:t>
            </w: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178,217</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800" w:right="380" w:hanging="458"/>
        <w:spacing w:after="0" w:line="282" w:lineRule="auto"/>
        <w:rPr>
          <w:sz w:val="20"/>
          <w:szCs w:val="20"/>
          <w:color w:val="auto"/>
        </w:rPr>
      </w:pPr>
      <w:r>
        <w:rPr>
          <w:rFonts w:ascii="Times New Roman" w:cs="Times New Roman" w:eastAsia="Times New Roman" w:hAnsi="Times New Roman"/>
          <w:sz w:val="18"/>
          <w:szCs w:val="18"/>
          <w:color w:val="auto"/>
        </w:rPr>
        <w:t>(1)Audit Fees consist of fees billed for the audit of annual financial statements and internal control over financial reporting and the review of interim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4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rendered by our independent registered public accounting firm. The policies require pre-approval of all auditing and such non-auditing services as our independent registered public accounting firm is permitted to provide, subject to de minimus exceptions for services other than audit, review, or attest services that are approved by the audit committee prior to completion of the audit. All of the items identified under “Audit-Related Fees,” “Tax Fees” and “All Other Fees” above were approved by the audit committee. Alternatively, the engagement of our independent registered public accounting firm may be entered into pursuant to pre-approved policies and procedures that our audit committee may establish, so long as these policies and procedures are detailed as to particular services and the audit committee is informed of each service. In making these determinations, the audit committee will consider whether the services provided are compatible with maintaining the independence of the independent registered public accounting firm. We are prohibited by applicable law from obtaining certain non-audit services from our independent registered public accounting firm and, in that event, we would obtain these non-audit services from other providers.</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has considered whether the provision of non-audit services is compatible with maintaining the independence of our independent registered public accounting firm and determined that it is consistent with such independence.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FINANCIAL STATEMENT SCHEDULES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documents are being filed as part of this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information beginning on page F-1 of this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Exhibit Index following the signature page of this report.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w:t>
      </w:r>
    </w:p>
    <w:p>
      <w:pPr>
        <w:sectPr>
          <w:pgSz w:w="11900" w:h="16838" w:orient="portrait"/>
          <w:cols w:equalWidth="0" w:num="1">
            <w:col w:w="11420"/>
          </w:cols>
          <w:pgMar w:left="240" w:top="738"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duly caused this report to be signed on its behalf by the undersigned, thereunto duly authorized.</w:t>
      </w:r>
    </w:p>
    <w:p>
      <w:pPr>
        <w:spacing w:after="0" w:line="24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 Colorado corporation</w:t>
      </w:r>
    </w:p>
    <w:p>
      <w:pPr>
        <w:spacing w:after="0" w:line="369"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Darren Jensen</w:t>
            </w:r>
          </w:p>
        </w:tc>
      </w:tr>
      <w:tr>
        <w:trPr>
          <w:trHeight w:val="27"/>
        </w:trPr>
        <w:tc>
          <w:tcPr>
            <w:tcW w:w="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Darren Jensen</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12, 2016</w:t>
            </w:r>
          </w:p>
        </w:tc>
      </w:tr>
    </w:tbl>
    <w:p>
      <w:pPr>
        <w:spacing w:after="0" w:line="14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Darren Jensen and Mark Jaggi,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0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jc w:val="center"/>
              <w:ind w:right="191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577"/>
        </w:trPr>
        <w:tc>
          <w:tcPr>
            <w:tcW w:w="20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Pr>
          <w:p>
            <w:pPr>
              <w:jc w:val="center"/>
              <w:ind w:right="1553"/>
              <w:spacing w:after="0"/>
              <w:rPr>
                <w:sz w:val="20"/>
                <w:szCs w:val="20"/>
                <w:color w:val="auto"/>
              </w:rPr>
            </w:pPr>
            <w:r>
              <w:rPr>
                <w:rFonts w:ascii="Times New Roman" w:cs="Times New Roman" w:eastAsia="Times New Roman" w:hAnsi="Times New Roman"/>
                <w:sz w:val="18"/>
                <w:szCs w:val="18"/>
                <w:color w:val="auto"/>
              </w:rPr>
              <w:t>Darren Jensen</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vMerge w:val="restart"/>
          </w:tcPr>
          <w:p>
            <w:pPr>
              <w:jc w:val="center"/>
              <w:ind w:left="351"/>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040" w:type="dxa"/>
            <w:vAlign w:val="bottom"/>
            <w:gridSpan w:val="2"/>
          </w:tcPr>
          <w:p>
            <w:pPr>
              <w:jc w:val="center"/>
              <w:ind w:right="1653"/>
              <w:spacing w:after="0"/>
              <w:rPr>
                <w:sz w:val="20"/>
                <w:szCs w:val="20"/>
                <w:color w:val="auto"/>
              </w:rPr>
            </w:pPr>
            <w:r>
              <w:rPr>
                <w:rFonts w:ascii="Times New Roman" w:cs="Times New Roman" w:eastAsia="Times New Roman" w:hAnsi="Times New Roman"/>
                <w:sz w:val="18"/>
                <w:szCs w:val="18"/>
                <w:color w:val="auto"/>
                <w:w w:val="99"/>
              </w:rPr>
              <w:t>Darren Jensen</w:t>
            </w:r>
          </w:p>
        </w:tc>
        <w:tc>
          <w:tcPr>
            <w:tcW w:w="2480" w:type="dxa"/>
            <w:vAlign w:val="bottom"/>
          </w:tcPr>
          <w:p>
            <w:pPr>
              <w:spacing w:after="0"/>
              <w:rPr>
                <w:sz w:val="20"/>
                <w:szCs w:val="20"/>
                <w:color w:val="auto"/>
              </w:rPr>
            </w:pP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0" w:type="dxa"/>
            <w:vAlign w:val="bottom"/>
          </w:tcPr>
          <w:p>
            <w:pPr>
              <w:spacing w:after="0"/>
              <w:rPr>
                <w:sz w:val="1"/>
                <w:szCs w:val="1"/>
                <w:color w:val="auto"/>
              </w:rPr>
            </w:pPr>
          </w:p>
        </w:tc>
      </w:tr>
      <w:tr>
        <w:trPr>
          <w:trHeight w:val="576"/>
        </w:trPr>
        <w:tc>
          <w:tcPr>
            <w:tcW w:w="1760" w:type="dxa"/>
            <w:vAlign w:val="bottom"/>
          </w:tcPr>
          <w:p>
            <w:pPr>
              <w:spacing w:after="0"/>
              <w:rPr>
                <w:sz w:val="24"/>
                <w:szCs w:val="24"/>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2800" w:type="dxa"/>
            <w:vAlign w:val="bottom"/>
            <w:vMerge w:val="restart"/>
          </w:tcPr>
          <w:p>
            <w:pPr>
              <w:jc w:val="center"/>
              <w:ind w:right="1553"/>
              <w:spacing w:after="0"/>
              <w:rPr>
                <w:sz w:val="20"/>
                <w:szCs w:val="20"/>
                <w:color w:val="auto"/>
              </w:rPr>
            </w:pPr>
            <w:r>
              <w:rPr>
                <w:rFonts w:ascii="Times New Roman" w:cs="Times New Roman" w:eastAsia="Times New Roman" w:hAnsi="Times New Roman"/>
                <w:sz w:val="18"/>
                <w:szCs w:val="18"/>
                <w:color w:val="auto"/>
                <w:w w:val="98"/>
              </w:rPr>
              <w:t>Mark Jaggi</w:t>
            </w:r>
          </w:p>
        </w:tc>
        <w:tc>
          <w:tcPr>
            <w:tcW w:w="24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3400" w:type="dxa"/>
            <w:vAlign w:val="bottom"/>
            <w:vMerge w:val="restart"/>
          </w:tcPr>
          <w:p>
            <w:pPr>
              <w:jc w:val="center"/>
              <w:ind w:left="351"/>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jc w:val="center"/>
              <w:ind w:right="1893"/>
              <w:spacing w:after="0"/>
              <w:rPr>
                <w:sz w:val="20"/>
                <w:szCs w:val="20"/>
                <w:color w:val="auto"/>
              </w:rPr>
            </w:pPr>
            <w:r>
              <w:rPr>
                <w:rFonts w:ascii="Times New Roman" w:cs="Times New Roman" w:eastAsia="Times New Roman" w:hAnsi="Times New Roman"/>
                <w:sz w:val="18"/>
                <w:szCs w:val="18"/>
                <w:color w:val="auto"/>
              </w:rPr>
              <w:t>Mark Jaggi</w:t>
            </w:r>
          </w:p>
        </w:tc>
        <w:tc>
          <w:tcPr>
            <w:tcW w:w="2480" w:type="dxa"/>
            <w:vAlign w:val="bottom"/>
          </w:tcPr>
          <w:p>
            <w:pPr>
              <w:spacing w:after="0"/>
              <w:rPr>
                <w:sz w:val="20"/>
                <w:szCs w:val="20"/>
                <w:color w:val="auto"/>
              </w:rPr>
            </w:pP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594"/>
        </w:trPr>
        <w:tc>
          <w:tcPr>
            <w:tcW w:w="17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Pr>
          <w:p>
            <w:pPr>
              <w:jc w:val="center"/>
              <w:ind w:right="1553"/>
              <w:spacing w:after="0"/>
              <w:rPr>
                <w:sz w:val="20"/>
                <w:szCs w:val="20"/>
                <w:color w:val="auto"/>
              </w:rPr>
            </w:pPr>
            <w:r>
              <w:rPr>
                <w:rFonts w:ascii="Times New Roman" w:cs="Times New Roman" w:eastAsia="Times New Roman" w:hAnsi="Times New Roman"/>
                <w:sz w:val="18"/>
                <w:szCs w:val="18"/>
                <w:color w:val="auto"/>
              </w:rPr>
              <w:t>Garry Mauro</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040" w:type="dxa"/>
            <w:vAlign w:val="bottom"/>
            <w:gridSpan w:val="2"/>
          </w:tcPr>
          <w:p>
            <w:pPr>
              <w:jc w:val="center"/>
              <w:ind w:right="1653"/>
              <w:spacing w:after="0"/>
              <w:rPr>
                <w:sz w:val="20"/>
                <w:szCs w:val="20"/>
                <w:color w:val="auto"/>
              </w:rPr>
            </w:pPr>
            <w:r>
              <w:rPr>
                <w:rFonts w:ascii="Times New Roman" w:cs="Times New Roman" w:eastAsia="Times New Roman" w:hAnsi="Times New Roman"/>
                <w:sz w:val="18"/>
                <w:szCs w:val="18"/>
                <w:color w:val="auto"/>
                <w:w w:val="99"/>
              </w:rPr>
              <w:t>Garry Mauro</w:t>
            </w:r>
          </w:p>
        </w:tc>
        <w:tc>
          <w:tcPr>
            <w:tcW w:w="2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7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gridSpan w:val="2"/>
          </w:tcPr>
          <w:p>
            <w:pPr>
              <w:jc w:val="center"/>
              <w:ind w:right="1313"/>
              <w:spacing w:after="0"/>
              <w:rPr>
                <w:sz w:val="20"/>
                <w:szCs w:val="20"/>
                <w:color w:val="auto"/>
              </w:rPr>
            </w:pPr>
            <w:r>
              <w:rPr>
                <w:rFonts w:ascii="Times New Roman" w:cs="Times New Roman" w:eastAsia="Times New Roman" w:hAnsi="Times New Roman"/>
                <w:sz w:val="18"/>
                <w:szCs w:val="18"/>
                <w:color w:val="auto"/>
              </w:rPr>
              <w:t>Michael A. Beindorff</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A. Beindorff</w:t>
            </w:r>
          </w:p>
        </w:tc>
        <w:tc>
          <w:tcPr>
            <w:tcW w:w="2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0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Pr>
          <w:p>
            <w:pPr>
              <w:jc w:val="center"/>
              <w:ind w:right="1553"/>
              <w:spacing w:after="0"/>
              <w:rPr>
                <w:sz w:val="20"/>
                <w:szCs w:val="20"/>
                <w:color w:val="auto"/>
              </w:rPr>
            </w:pPr>
            <w:r>
              <w:rPr>
                <w:rFonts w:ascii="Times New Roman" w:cs="Times New Roman" w:eastAsia="Times New Roman" w:hAnsi="Times New Roman"/>
                <w:sz w:val="18"/>
                <w:szCs w:val="18"/>
                <w:color w:val="auto"/>
              </w:rPr>
              <w:t>Dave Manovich</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 and Vice Chairman of the Board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040" w:type="dxa"/>
            <w:vAlign w:val="bottom"/>
            <w:gridSpan w:val="2"/>
          </w:tcPr>
          <w:p>
            <w:pPr>
              <w:jc w:val="center"/>
              <w:ind w:right="1673"/>
              <w:spacing w:after="0"/>
              <w:rPr>
                <w:sz w:val="20"/>
                <w:szCs w:val="20"/>
                <w:color w:val="auto"/>
              </w:rPr>
            </w:pPr>
            <w:r>
              <w:rPr>
                <w:rFonts w:ascii="Times New Roman" w:cs="Times New Roman" w:eastAsia="Times New Roman" w:hAnsi="Times New Roman"/>
                <w:sz w:val="18"/>
                <w:szCs w:val="18"/>
                <w:color w:val="auto"/>
              </w:rPr>
              <w:t>Dave Manovich</w:t>
            </w:r>
          </w:p>
        </w:tc>
        <w:tc>
          <w:tcPr>
            <w:tcW w:w="2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7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gridSpan w:val="2"/>
          </w:tcPr>
          <w:p>
            <w:pPr>
              <w:jc w:val="center"/>
              <w:ind w:right="1313"/>
              <w:spacing w:after="0"/>
              <w:rPr>
                <w:sz w:val="20"/>
                <w:szCs w:val="20"/>
                <w:color w:val="auto"/>
              </w:rPr>
            </w:pPr>
            <w:r>
              <w:rPr>
                <w:rFonts w:ascii="Times New Roman" w:cs="Times New Roman" w:eastAsia="Times New Roman" w:hAnsi="Times New Roman"/>
                <w:sz w:val="18"/>
                <w:szCs w:val="18"/>
                <w:color w:val="auto"/>
                <w:w w:val="98"/>
              </w:rPr>
              <w:t>George E. Metzger</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George E. Metzger</w:t>
            </w:r>
          </w:p>
        </w:tc>
        <w:tc>
          <w:tcPr>
            <w:tcW w:w="2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76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3"/>
              </w:rPr>
              <w:t>/s/</w:t>
            </w:r>
          </w:p>
        </w:tc>
        <w:tc>
          <w:tcPr>
            <w:tcW w:w="3040" w:type="dxa"/>
            <w:vAlign w:val="bottom"/>
            <w:gridSpan w:val="2"/>
          </w:tcPr>
          <w:p>
            <w:pPr>
              <w:jc w:val="center"/>
              <w:ind w:right="1313"/>
              <w:spacing w:after="0"/>
              <w:rPr>
                <w:sz w:val="20"/>
                <w:szCs w:val="20"/>
                <w:color w:val="auto"/>
              </w:rPr>
            </w:pPr>
            <w:r>
              <w:rPr>
                <w:rFonts w:ascii="Times New Roman" w:cs="Times New Roman" w:eastAsia="Times New Roman" w:hAnsi="Times New Roman"/>
                <w:sz w:val="18"/>
                <w:szCs w:val="18"/>
                <w:color w:val="auto"/>
                <w:w w:val="98"/>
              </w:rPr>
              <w:t>Richard Okumoto</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c>
          <w:tcPr>
            <w:tcW w:w="2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040" w:type="dxa"/>
            <w:vAlign w:val="bottom"/>
            <w:gridSpan w:val="2"/>
          </w:tcPr>
          <w:p>
            <w:pPr>
              <w:jc w:val="center"/>
              <w:ind w:right="1653"/>
              <w:spacing w:after="0"/>
              <w:rPr>
                <w:sz w:val="20"/>
                <w:szCs w:val="20"/>
                <w:color w:val="auto"/>
              </w:rPr>
            </w:pPr>
            <w:r>
              <w:rPr>
                <w:rFonts w:ascii="Times New Roman" w:cs="Times New Roman" w:eastAsia="Times New Roman" w:hAnsi="Times New Roman"/>
                <w:sz w:val="18"/>
                <w:szCs w:val="18"/>
                <w:color w:val="auto"/>
              </w:rPr>
              <w:t>Richard Okumoto</w:t>
            </w:r>
          </w:p>
        </w:tc>
        <w:tc>
          <w:tcPr>
            <w:tcW w:w="2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7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2800" w:type="dxa"/>
            <w:vAlign w:val="bottom"/>
          </w:tcPr>
          <w:p>
            <w:pPr>
              <w:jc w:val="center"/>
              <w:ind w:right="1553"/>
              <w:spacing w:after="0"/>
              <w:rPr>
                <w:sz w:val="20"/>
                <w:szCs w:val="20"/>
                <w:color w:val="auto"/>
              </w:rPr>
            </w:pPr>
            <w:r>
              <w:rPr>
                <w:rFonts w:ascii="Times New Roman" w:cs="Times New Roman" w:eastAsia="Times New Roman" w:hAnsi="Times New Roman"/>
                <w:sz w:val="18"/>
                <w:szCs w:val="18"/>
                <w:color w:val="auto"/>
                <w:w w:val="99"/>
              </w:rPr>
              <w:t>Dave Toole</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December 12, 2016</w:t>
            </w:r>
          </w:p>
        </w:tc>
        <w:tc>
          <w:tcPr>
            <w:tcW w:w="34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Dave Toole</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- 75-</w:t>
      </w:r>
    </w:p>
    <w:p>
      <w:pPr>
        <w:sectPr>
          <w:pgSz w:w="11900" w:h="16838" w:orient="portrait"/>
          <w:cols w:equalWidth="0" w:num="1">
            <w:col w:w="11420"/>
          </w:cols>
          <w:pgMar w:left="240" w:top="576" w:right="2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7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21"/>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36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Articles of Incorporation and Statement of</w:t>
            </w:r>
          </w:p>
        </w:tc>
      </w:tr>
      <w:tr>
        <w:trPr>
          <w:trHeight w:val="234"/>
        </w:trPr>
        <w:tc>
          <w:tcPr>
            <w:tcW w:w="74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Correction to Amended and Restated Articles of Incorporation</w:t>
            </w:r>
          </w:p>
        </w:tc>
      </w:tr>
      <w:tr>
        <w:trPr>
          <w:trHeight w:val="48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Articles of Amendment to the Amended and Restated Articles of</w:t>
            </w:r>
          </w:p>
        </w:tc>
      </w:tr>
      <w:tr>
        <w:trPr>
          <w:trHeight w:val="234"/>
        </w:trPr>
        <w:tc>
          <w:tcPr>
            <w:tcW w:w="74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Incorporation</w:t>
            </w:r>
          </w:p>
        </w:tc>
      </w:tr>
      <w:tr>
        <w:trPr>
          <w:trHeight w:val="50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7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Amendment of the Amended and Restated Bylaws</w:t>
            </w:r>
          </w:p>
        </w:tc>
      </w:tr>
      <w:tr>
        <w:trPr>
          <w:trHeight w:val="50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Warrant issued in connection with November 2009 Financing</w:t>
            </w:r>
          </w:p>
        </w:tc>
      </w:tr>
      <w:tr>
        <w:trPr>
          <w:trHeight w:val="48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to Debentures and Warrants, dated as of December 11,</w:t>
            </w:r>
          </w:p>
        </w:tc>
      </w:tr>
      <w:tr>
        <w:trPr>
          <w:trHeight w:val="234"/>
        </w:trPr>
        <w:tc>
          <w:tcPr>
            <w:tcW w:w="74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2009</w:t>
            </w:r>
          </w:p>
        </w:tc>
      </w:tr>
      <w:tr>
        <w:trPr>
          <w:trHeight w:val="48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Restated Warrant issued pursuant to Amended and Restated</w:t>
            </w:r>
          </w:p>
        </w:tc>
      </w:tr>
      <w:tr>
        <w:trPr>
          <w:trHeight w:val="234"/>
        </w:trPr>
        <w:tc>
          <w:tcPr>
            <w:tcW w:w="74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Purchase Agreement dated December 11, 2009</w:t>
            </w:r>
          </w:p>
        </w:tc>
      </w:tr>
      <w:tr>
        <w:trPr>
          <w:trHeight w:val="48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Restated Common Stock Purchase Warrant issued on each of</w:t>
            </w:r>
          </w:p>
        </w:tc>
      </w:tr>
      <w:tr>
        <w:trPr>
          <w:trHeight w:val="216"/>
        </w:trPr>
        <w:tc>
          <w:tcPr>
            <w:tcW w:w="74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2009, January 20, 2010, February 4, 2010 and</w:t>
            </w:r>
          </w:p>
        </w:tc>
      </w:tr>
      <w:tr>
        <w:trPr>
          <w:trHeight w:val="234"/>
        </w:trPr>
        <w:tc>
          <w:tcPr>
            <w:tcW w:w="74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26, 2010</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Exhibit to 4.1 to Registration Statement on Form S-8 (File No. 333-200363) filed on November 19, 2014.</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Exhibit 3.1(b) to Form 10-Q for the fiscal quarter ended September 30, 2015 filed on November 4, 2015.</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3.2 to Form 10-K for the fiscal year ended June 30, 2011 filed on September 28, 2011.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3.1 Form 8-K filed on May 31, 2012.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4.2 to Form 8-K filed on November 18, 2009.</w:t>
      </w:r>
    </w:p>
    <w:p>
      <w:pPr>
        <w:spacing w:after="0" w:line="29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Exhibit 4.3 to Form 10-Q for the fiscal quarter ended December 31, 2010 filed on February 16, 2010.</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Exhibit 4.5 to Form 10-Q for the fiscal quarter ended December 31, 2009 filed on February 16, 2010.</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Exhibit 4.2 to Form 10-Q for the fiscal quarter ended March 31, 2010 filed on May 14, 2010.</w:t>
      </w:r>
    </w:p>
    <w:p>
      <w:pPr>
        <w:spacing w:after="0" w:line="380" w:lineRule="exact"/>
        <w:rPr>
          <w:sz w:val="20"/>
          <w:szCs w:val="20"/>
          <w:color w:val="auto"/>
        </w:rPr>
      </w:pPr>
    </w:p>
    <w:p>
      <w:pPr>
        <w:sectPr>
          <w:pgSz w:w="11900" w:h="16838" w:orient="portrait"/>
          <w:cols w:equalWidth="0" w:num="2">
            <w:col w:w="6140" w:space="180"/>
            <w:col w:w="5100"/>
          </w:cols>
          <w:pgMar w:left="240" w:top="576" w:right="239" w:bottom="1440" w:gutter="0" w:footer="0" w:header="0"/>
          <w:type w:val="continuous"/>
        </w:sectPr>
      </w:pP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LifeVantage Corporation Amendment to Warrant</w:t>
            </w:r>
          </w:p>
        </w:tc>
      </w:tr>
      <w:tr>
        <w:trPr>
          <w:trHeight w:val="48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Manufacturing and Supply Agreement dated July 1, 2008 between</w:t>
            </w:r>
          </w:p>
        </w:tc>
      </w:tr>
      <w:tr>
        <w:trPr>
          <w:trHeight w:val="234"/>
        </w:trPr>
        <w:tc>
          <w:tcPr>
            <w:tcW w:w="72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Cornerstone Research and Development and LifeVantage Corporation</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LifeVantage Distributor Compensation Plan</w:t>
            </w:r>
          </w:p>
        </w:tc>
      </w:tr>
      <w:tr>
        <w:trPr>
          <w:trHeight w:val="69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Securities Purchase Agreement entered into in connection</w:t>
            </w:r>
          </w:p>
        </w:tc>
      </w:tr>
      <w:tr>
        <w:trPr>
          <w:trHeight w:val="234"/>
        </w:trPr>
        <w:tc>
          <w:tcPr>
            <w:tcW w:w="72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November 2009 Financing</w:t>
            </w:r>
          </w:p>
        </w:tc>
      </w:tr>
      <w:tr>
        <w:trPr>
          <w:trHeight w:val="48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Amended and Restated Securities Purchase Agreement</w:t>
            </w:r>
          </w:p>
        </w:tc>
      </w:tr>
      <w:tr>
        <w:trPr>
          <w:trHeight w:val="234"/>
        </w:trPr>
        <w:tc>
          <w:tcPr>
            <w:tcW w:w="72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originally dated December 11, 2009</w:t>
            </w:r>
          </w:p>
        </w:tc>
      </w:tr>
      <w:tr>
        <w:trPr>
          <w:trHeight w:val="48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Securities Purchase Agreement dated</w:t>
            </w:r>
          </w:p>
        </w:tc>
      </w:tr>
      <w:tr>
        <w:trPr>
          <w:trHeight w:val="216"/>
        </w:trPr>
        <w:tc>
          <w:tcPr>
            <w:tcW w:w="7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2009, among LifeVantage Corporation and the</w:t>
            </w:r>
          </w:p>
        </w:tc>
      </w:tr>
      <w:tr>
        <w:trPr>
          <w:trHeight w:val="234"/>
        </w:trPr>
        <w:tc>
          <w:tcPr>
            <w:tcW w:w="72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purchaser parties thereto</w:t>
            </w:r>
          </w:p>
        </w:tc>
      </w:tr>
      <w:tr>
        <w:trPr>
          <w:trHeight w:val="48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Securities Purchase Agreement dated</w:t>
            </w:r>
          </w:p>
        </w:tc>
      </w:tr>
      <w:tr>
        <w:trPr>
          <w:trHeight w:val="216"/>
        </w:trPr>
        <w:tc>
          <w:tcPr>
            <w:tcW w:w="7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20, 2010, among LifeVantage Corporation and the purchaser</w:t>
            </w:r>
          </w:p>
        </w:tc>
      </w:tr>
      <w:tr>
        <w:trPr>
          <w:trHeight w:val="234"/>
        </w:trPr>
        <w:tc>
          <w:tcPr>
            <w:tcW w:w="72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parties thereto</w:t>
            </w:r>
          </w:p>
        </w:tc>
      </w:tr>
      <w:tr>
        <w:trPr>
          <w:trHeight w:val="48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Securities Purchase Agreement dated</w:t>
            </w:r>
          </w:p>
        </w:tc>
      </w:tr>
      <w:tr>
        <w:trPr>
          <w:trHeight w:val="216"/>
        </w:trPr>
        <w:tc>
          <w:tcPr>
            <w:tcW w:w="7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February 4, 2010, among LifeVantage Corporation and the purchaser</w:t>
            </w:r>
          </w:p>
        </w:tc>
      </w:tr>
      <w:tr>
        <w:trPr>
          <w:trHeight w:val="234"/>
        </w:trPr>
        <w:tc>
          <w:tcPr>
            <w:tcW w:w="72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parties thereto</w:t>
            </w: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(a)(1)(ii) to Schedule TO filed on November 29, 2011.</w:t>
      </w:r>
    </w:p>
    <w:p>
      <w:pPr>
        <w:spacing w:after="0" w:line="29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10.21 to Form 10-K/A for the fiscal year ended June 30, 2009 filed October 28, 2009.</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Exhibit 10.14 to Form 10-K for the fiscal year ended June 30, 2010 filed on September 15, 2010.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to Form 8-K filed on November 18, 2009.</w:t>
      </w:r>
    </w:p>
    <w:p>
      <w:pPr>
        <w:spacing w:after="0" w:line="200" w:lineRule="exact"/>
        <w:rPr>
          <w:sz w:val="20"/>
          <w:szCs w:val="20"/>
          <w:color w:val="auto"/>
        </w:rPr>
      </w:pPr>
    </w:p>
    <w:p>
      <w:pPr>
        <w:spacing w:after="0" w:line="3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Exhibit 10.3 to Form 10-Q for the fiscal quarter ended December 31, 2009 filed on February 16, 2010.</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10.1 to Form 10-Q for the fiscal quarter ended March 31, 2010 filed on May 14, 2010.</w:t>
      </w:r>
    </w:p>
    <w:p>
      <w:pPr>
        <w:spacing w:after="0" w:line="200" w:lineRule="exact"/>
        <w:rPr>
          <w:sz w:val="20"/>
          <w:szCs w:val="20"/>
          <w:color w:val="auto"/>
        </w:rPr>
      </w:pPr>
    </w:p>
    <w:p>
      <w:pPr>
        <w:spacing w:after="0" w:line="24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10.2 to Form 10-Q for the fiscal quarter ended March 31, 2010 filed on May 14, 2010.</w:t>
      </w:r>
    </w:p>
    <w:p>
      <w:pPr>
        <w:spacing w:after="0" w:line="200" w:lineRule="exact"/>
        <w:rPr>
          <w:sz w:val="20"/>
          <w:szCs w:val="20"/>
          <w:color w:val="auto"/>
        </w:rPr>
      </w:pPr>
    </w:p>
    <w:p>
      <w:pPr>
        <w:spacing w:after="0" w:line="24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10.3 to Form 10-Q for the fiscal quarter ended March 31, 2010 filed on May 14, 2010.</w:t>
      </w:r>
    </w:p>
    <w:p>
      <w:pPr>
        <w:spacing w:after="0" w:line="380" w:lineRule="exact"/>
        <w:rPr>
          <w:sz w:val="20"/>
          <w:szCs w:val="20"/>
          <w:color w:val="auto"/>
        </w:rPr>
      </w:pPr>
    </w:p>
    <w:p>
      <w:pPr>
        <w:sectPr>
          <w:pgSz w:w="11900" w:h="16838" w:orient="portrait"/>
          <w:cols w:equalWidth="0" w:num="2">
            <w:col w:w="6120" w:space="200"/>
            <w:col w:w="5100"/>
          </w:cols>
          <w:pgMar w:left="240" w:top="576" w:right="2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- 76-</w:t>
      </w:r>
    </w:p>
    <w:p>
      <w:pPr>
        <w:sectPr>
          <w:pgSz w:w="11900" w:h="16838" w:orient="portrait"/>
          <w:cols w:equalWidth="0" w:num="1">
            <w:col w:w="11420"/>
          </w:cols>
          <w:pgMar w:left="240" w:top="576" w:right="239" w:bottom="1440" w:gutter="0" w:footer="0" w:header="0"/>
          <w:type w:val="continuous"/>
        </w:sectPr>
      </w:pPr>
    </w:p>
    <w:bookmarkStart w:id="76" w:name="page77"/>
    <w:bookmarkEnd w:id="76"/>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8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0"/>
        </w:trPr>
        <w:tc>
          <w:tcPr>
            <w:tcW w:w="156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80" w:top="723" w:right="479" w:bottom="1440" w:gutter="0" w:footer="0" w:header="0"/>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10.8</w:t>
            </w: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Securities Purchase Agreement dated</w:t>
            </w:r>
          </w:p>
        </w:tc>
      </w:tr>
      <w:tr>
        <w:trPr>
          <w:trHeight w:val="216"/>
        </w:trPr>
        <w:tc>
          <w:tcPr>
            <w:tcW w:w="68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February 26, 2010, among LifeVantage Corporation and the purchaser</w:t>
            </w:r>
          </w:p>
        </w:tc>
      </w:tr>
      <w:tr>
        <w:trPr>
          <w:trHeight w:val="234"/>
        </w:trPr>
        <w:tc>
          <w:tcPr>
            <w:tcW w:w="68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parties thereto</w:t>
            </w: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10.4 to Form 10-Q for the fiscal quarter ended March 31, 2010 filed on May 14, 2010.</w:t>
      </w:r>
    </w:p>
    <w:p>
      <w:pPr>
        <w:spacing w:after="0" w:line="380" w:lineRule="exact"/>
        <w:rPr>
          <w:sz w:val="20"/>
          <w:szCs w:val="20"/>
          <w:color w:val="auto"/>
        </w:rPr>
      </w:pPr>
    </w:p>
    <w:p>
      <w:pPr>
        <w:sectPr>
          <w:pgSz w:w="11900" w:h="16838" w:orient="portrait"/>
          <w:cols w:equalWidth="0" w:num="2">
            <w:col w:w="6100" w:space="180"/>
            <w:col w:w="4860"/>
          </w:cols>
          <w:pgMar w:left="280" w:top="723" w:right="47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2007 Long-Term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Appendix B to Proxy Statement on Schedule 14A filed on</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20, 2006.</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10.10(a)#</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2010 Long-Term Incentive Plan effective as</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Annex A to Proxy Statement on Schedule A filed on November 19,</w:t>
            </w:r>
          </w:p>
        </w:tc>
      </w:tr>
      <w:tr>
        <w:trPr>
          <w:trHeight w:val="234"/>
        </w:trPr>
        <w:tc>
          <w:tcPr>
            <w:tcW w:w="86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September 27, 2010 and as amended as of August 21, 2014</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2014.</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10.10(b)#</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Nonstatutory Stock Option Agreement for the LifeVantage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4.4 to Registration Statement on Form S-8 (File No. 333-</w:t>
            </w:r>
          </w:p>
        </w:tc>
      </w:tr>
      <w:tr>
        <w:trPr>
          <w:trHeight w:val="234"/>
        </w:trPr>
        <w:tc>
          <w:tcPr>
            <w:tcW w:w="86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 2010 Long-Term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175104) filed on June 23, 2011.</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10.10(c)#</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Incentive Stock Option Agreement for the LifeVantage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4.5 to Registration Statement on Form S-8 (File No. 333-</w:t>
            </w:r>
          </w:p>
        </w:tc>
      </w:tr>
      <w:tr>
        <w:trPr>
          <w:trHeight w:val="234"/>
        </w:trPr>
        <w:tc>
          <w:tcPr>
            <w:tcW w:w="86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 2010 Long-Term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175104) filed on June 23, 2011.</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10.10(d)#</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Amended and Restated Stock Unit Agreement for the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10.3 to Form 10-Q for the fiscal quarter ended March 31,</w:t>
            </w:r>
          </w:p>
        </w:tc>
      </w:tr>
      <w:tr>
        <w:trPr>
          <w:trHeight w:val="234"/>
        </w:trPr>
        <w:tc>
          <w:tcPr>
            <w:tcW w:w="86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2010 Long-Term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2016 filed on May 4, 2016.</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FY2015 Annual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10.13 to Form 10-K for the fiscal year ended June 30, 2014</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10, 2014.</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FY2015 Sales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10.14 to Form 10-K for the fiscal year ended June 30, 2014</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10, 2014.</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Performance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10.15 to Form 10-K for the fiscal year ended June 30, 2015</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 2015.</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FY2016 Annual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10.16 to Form 10-K for the fiscal year ended June 30, 2015</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 2015.</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FY2016 Sales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10.17 to Form 10-K for the fiscal year ended June 30, 2015</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 2015.</w:t>
            </w:r>
          </w:p>
        </w:tc>
      </w:tr>
      <w:tr>
        <w:trPr>
          <w:trHeight w:val="50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FY2017 Annual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0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FY2017 Sales 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LifeVantage Corporation Cash Settled Performance-Based Long Term</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10.14 to Form 10-K for the fiscal year ended June 30, 2013</w:t>
            </w:r>
          </w:p>
        </w:tc>
      </w:tr>
      <w:tr>
        <w:trPr>
          <w:trHeight w:val="234"/>
        </w:trPr>
        <w:tc>
          <w:tcPr>
            <w:tcW w:w="86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12, 2013.</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Performance Unit Agreement</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10.15 to Form 10-K for the fiscal year ended June 30, 2013</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12, 2013.</w:t>
            </w:r>
          </w:p>
        </w:tc>
      </w:tr>
      <w:tr>
        <w:trPr>
          <w:trHeight w:val="48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Performance Unit Agreement - FY2016 through FY2018</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10.20 to Form 10-K for the fiscal year ended June 30, 2015</w:t>
            </w:r>
          </w:p>
        </w:tc>
      </w:tr>
      <w:tr>
        <w:trPr>
          <w:trHeight w:val="234"/>
        </w:trPr>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September 1, 2015.</w:t>
            </w:r>
          </w:p>
        </w:tc>
      </w:tr>
      <w:tr>
        <w:trPr>
          <w:trHeight w:val="50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Performance Unit Agreement - FY2017 through FY2019</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851"/>
        </w:trPr>
        <w:tc>
          <w:tcPr>
            <w:tcW w:w="860" w:type="dxa"/>
            <w:vAlign w:val="bottom"/>
          </w:tcPr>
          <w:p>
            <w:pPr>
              <w:spacing w:after="0"/>
              <w:rPr>
                <w:sz w:val="24"/>
                <w:szCs w:val="24"/>
                <w:color w:val="auto"/>
              </w:rPr>
            </w:pPr>
          </w:p>
        </w:tc>
        <w:tc>
          <w:tcPr>
            <w:tcW w:w="53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- 77-</w:t>
            </w:r>
          </w:p>
        </w:tc>
        <w:tc>
          <w:tcPr>
            <w:tcW w:w="4960" w:type="dxa"/>
            <w:vAlign w:val="bottom"/>
          </w:tcPr>
          <w:p>
            <w:pPr>
              <w:spacing w:after="0"/>
              <w:rPr>
                <w:sz w:val="24"/>
                <w:szCs w:val="24"/>
                <w:color w:val="auto"/>
              </w:rPr>
            </w:pPr>
          </w:p>
        </w:tc>
      </w:tr>
    </w:tbl>
    <w:p>
      <w:pPr>
        <w:sectPr>
          <w:pgSz w:w="11900" w:h="16838" w:orient="portrait"/>
          <w:cols w:equalWidth="0" w:num="1">
            <w:col w:w="11140"/>
          </w:cols>
          <w:pgMar w:left="280" w:top="723" w:right="479" w:bottom="1440" w:gutter="0" w:footer="0" w:header="0"/>
          <w:type w:val="continuous"/>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4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5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Agreement and General Release between LifeVantage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and Douglas C. Robinson effective February 13, 2015</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by and between Darren Jensen and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Corporation dated April 26, 2015</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Separation Agreement and General Release between LifeVantage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and David Colbert effective July 3, 2015</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Separation Agreement and General Release between LifeVantage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and Rob Cutler effective May 8, 2015</w:t>
            </w:r>
          </w:p>
        </w:tc>
        <w:tc>
          <w:tcPr>
            <w:tcW w:w="0" w:type="dxa"/>
            <w:vAlign w:val="bottom"/>
          </w:tcPr>
          <w:p>
            <w:pPr>
              <w:spacing w:after="0"/>
              <w:rPr>
                <w:sz w:val="1"/>
                <w:szCs w:val="1"/>
                <w:color w:val="auto"/>
              </w:rPr>
            </w:pPr>
          </w:p>
        </w:tc>
      </w:tr>
      <w:tr>
        <w:trPr>
          <w:trHeight w:val="697"/>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dated September 22, 2011 between Sandy Park I L.L.C. and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Corporation</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dated September 20, 2012 between Sandy Park II L.L.C. and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Corporation</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Lease entered into as of March 24, 2014 between</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Sandy Park II L.L.C. and LifeVantage Corporation</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Supply Agreement dated January 31, 2014 between</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Corporation and Deseret Laboratories, Inc.</w:t>
            </w:r>
          </w:p>
        </w:tc>
        <w:tc>
          <w:tcPr>
            <w:tcW w:w="0" w:type="dxa"/>
            <w:vAlign w:val="bottom"/>
          </w:tcPr>
          <w:p>
            <w:pPr>
              <w:spacing w:after="0"/>
              <w:rPr>
                <w:sz w:val="1"/>
                <w:szCs w:val="1"/>
                <w:color w:val="auto"/>
              </w:rPr>
            </w:pPr>
          </w:p>
        </w:tc>
      </w:tr>
      <w:tr>
        <w:trPr>
          <w:trHeight w:val="50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Service Agreement with JIA, Inc. dated September 28, 2012</w:t>
            </w:r>
          </w:p>
        </w:tc>
        <w:tc>
          <w:tcPr>
            <w:tcW w:w="0" w:type="dxa"/>
            <w:vAlign w:val="bottom"/>
          </w:tcPr>
          <w:p>
            <w:pPr>
              <w:spacing w:after="0"/>
              <w:rPr>
                <w:sz w:val="1"/>
                <w:szCs w:val="1"/>
                <w:color w:val="auto"/>
              </w:rPr>
            </w:pPr>
          </w:p>
        </w:tc>
      </w:tr>
      <w:tr>
        <w:trPr>
          <w:trHeight w:val="716"/>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License Agreement with JIA, Inc. dated September 28, 2012</w:t>
            </w:r>
          </w:p>
        </w:tc>
        <w:tc>
          <w:tcPr>
            <w:tcW w:w="0" w:type="dxa"/>
            <w:vAlign w:val="bottom"/>
          </w:tcPr>
          <w:p>
            <w:pPr>
              <w:spacing w:after="0"/>
              <w:rPr>
                <w:sz w:val="1"/>
                <w:szCs w:val="1"/>
                <w:color w:val="auto"/>
              </w:rPr>
            </w:pPr>
          </w:p>
        </w:tc>
      </w:tr>
      <w:tr>
        <w:trPr>
          <w:trHeight w:val="697"/>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Agreement entered into as of June 1, 2014 between</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IntegraCore, LLC and LifeVantage</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Supply Agreement entered into as of May 30, 2014</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between LifeVantage Corporation and Wasatch Product Development</w:t>
            </w:r>
          </w:p>
        </w:tc>
        <w:tc>
          <w:tcPr>
            <w:tcW w:w="0" w:type="dxa"/>
            <w:vAlign w:val="bottom"/>
          </w:tcPr>
          <w:p>
            <w:pPr>
              <w:spacing w:after="0"/>
              <w:rPr>
                <w:sz w:val="1"/>
                <w:szCs w:val="1"/>
                <w:color w:val="auto"/>
              </w:rPr>
            </w:pPr>
          </w:p>
        </w:tc>
      </w:tr>
      <w:tr>
        <w:trPr>
          <w:trHeight w:val="481"/>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Agreement, dated October 18, 2013, by and among</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Corporation, the Guarantors and Lenders party thereto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TCW Special Situations, LLC as Collateral Agent and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to Form 8-K filed on February 20, 2015.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to Form 8-K filed on April 29, 2015.</w:t>
      </w:r>
    </w:p>
    <w:p>
      <w:pPr>
        <w:spacing w:after="0" w:line="200" w:lineRule="exact"/>
        <w:rPr>
          <w:sz w:val="20"/>
          <w:szCs w:val="20"/>
          <w:color w:val="auto"/>
        </w:rPr>
      </w:pPr>
    </w:p>
    <w:p>
      <w:pPr>
        <w:spacing w:after="0" w:line="3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Exhibit 10.25 to Form 10-K for the fiscal year ended June 30, 2015 filed on September 1, 2015.</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Exhibit 10.28 to Form 10-K for the fiscal year ended June 30, 2015 filed on September 1, 2015.</w:t>
      </w:r>
    </w:p>
    <w:p>
      <w:pPr>
        <w:spacing w:after="0" w:line="200" w:lineRule="exact"/>
        <w:rPr>
          <w:sz w:val="20"/>
          <w:szCs w:val="20"/>
          <w:color w:val="auto"/>
        </w:rPr>
      </w:pPr>
    </w:p>
    <w:p>
      <w:pPr>
        <w:spacing w:after="0" w:line="2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10.3 to Form 10-Q for the fiscal quarter ended September 30, 2011 filed on November 14, 2011.</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10.1 to Form 10-Q for the fiscal quarter ended September 30, 2012 filed on November 8, 2012.</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Exhibit 10.3 to Form 10-Q for the fiscal quarter ended March 31, 2014 filed on May 6, 2014.</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Exhibit 10.1 to Form 10-Q for the fiscal quarter ended March 31, 2014 filed on May 6, 2014.</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1.01 to Form 10-Q/A for the fiscal quarter ended March 31, 2013 filed on May 24, 2013.</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10.2 to Form 10-Q/A for the fiscal quarter ended March 31, 2013 filed on May 24, 2013.</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Exhibit 10.29 to Form 10-K for the fiscal year ended June 30, 2014 filed on September 10, 2014.</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Exhibit 10.30 to Form 10-K for the fiscal year ended June 30, 2014 filed on September 10, 2014.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to the Schedule TO-I/A filed on October 18, 2013.</w:t>
      </w:r>
    </w:p>
    <w:p>
      <w:pPr>
        <w:spacing w:after="0" w:line="875" w:lineRule="exact"/>
        <w:rPr>
          <w:sz w:val="20"/>
          <w:szCs w:val="20"/>
          <w:color w:val="auto"/>
        </w:rPr>
      </w:pPr>
    </w:p>
    <w:p>
      <w:pPr>
        <w:sectPr>
          <w:pgSz w:w="11900" w:h="16838" w:orient="portrait"/>
          <w:cols w:equalWidth="0" w:num="2">
            <w:col w:w="6180" w:space="140"/>
            <w:col w:w="5040"/>
          </w:cols>
          <w:pgMar w:left="240" w:top="724" w:right="299" w:bottom="1440" w:gutter="0" w:footer="0" w:header="0"/>
        </w:sectPr>
      </w:pPr>
    </w:p>
    <w:p>
      <w:pPr>
        <w:spacing w:after="0" w:line="65" w:lineRule="exact"/>
        <w:rPr>
          <w:sz w:val="20"/>
          <w:szCs w:val="20"/>
          <w:color w:val="auto"/>
        </w:rPr>
      </w:pPr>
    </w:p>
    <w:p>
      <w:pPr>
        <w:ind w:left="1080" w:hanging="10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color w:val="auto"/>
        </w:rPr>
        <w:t>Amendment No. 1 to Financing Agreement, dated May 1, 2015, by and between LifeVantage Corporation, the Guarantors and lenders party thereto and TCW Special Situations, LLC as Collateral Agent and Administrative Agent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Form 10-Q for the quarter ended March 31, 2015 filed on May 6, 2015.</w:t>
      </w:r>
    </w:p>
    <w:p>
      <w:pPr>
        <w:spacing w:after="0" w:line="613" w:lineRule="exact"/>
        <w:rPr>
          <w:sz w:val="20"/>
          <w:szCs w:val="20"/>
          <w:color w:val="auto"/>
        </w:rPr>
      </w:pPr>
    </w:p>
    <w:p>
      <w:pPr>
        <w:sectPr>
          <w:pgSz w:w="11900" w:h="16838" w:orient="portrait"/>
          <w:cols w:equalWidth="0" w:num="2">
            <w:col w:w="5940" w:space="380"/>
            <w:col w:w="5040"/>
          </w:cols>
          <w:pgMar w:left="240" w:top="724" w:right="299" w:bottom="1440" w:gutter="0" w:footer="0" w:header="0"/>
          <w:type w:val="continuous"/>
        </w:sectPr>
      </w:pPr>
    </w:p>
    <w:p>
      <w:pPr>
        <w:spacing w:after="0" w:line="48" w:lineRule="exact"/>
        <w:rPr>
          <w:sz w:val="20"/>
          <w:szCs w:val="20"/>
          <w:color w:val="auto"/>
        </w:rPr>
      </w:pPr>
    </w:p>
    <w:p>
      <w:pPr>
        <w:ind w:left="1080" w:hanging="10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8"/>
          <w:szCs w:val="18"/>
          <w:color w:val="auto"/>
        </w:rPr>
        <w:t>Amendment No. 2 to Financing Agreement, dated August 27, 2015 by and between LifeVantage Corporation, the Guarantors and lenders party thereto and TCW Special Situations, LLC as Collateral Agent and Administrative Agent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Exhibit 10.39 to Form 10-K for the fiscal year ended June 30, 2015 filed on September 1, 2015.</w:t>
      </w:r>
    </w:p>
    <w:p>
      <w:pPr>
        <w:spacing w:after="0" w:line="613" w:lineRule="exact"/>
        <w:rPr>
          <w:sz w:val="20"/>
          <w:szCs w:val="20"/>
          <w:color w:val="auto"/>
        </w:rPr>
      </w:pPr>
    </w:p>
    <w:p>
      <w:pPr>
        <w:sectPr>
          <w:pgSz w:w="11900" w:h="16838" w:orient="portrait"/>
          <w:cols w:equalWidth="0" w:num="2">
            <w:col w:w="6140" w:space="180"/>
            <w:col w:w="5040"/>
          </w:cols>
          <w:pgMar w:left="240" w:top="724" w:right="299" w:bottom="1440" w:gutter="0" w:footer="0" w:header="0"/>
          <w:type w:val="continuous"/>
        </w:sectPr>
      </w:pP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- 78-</w:t>
      </w:r>
    </w:p>
    <w:p>
      <w:pPr>
        <w:sectPr>
          <w:pgSz w:w="11900" w:h="16838" w:orient="portrait"/>
          <w:cols w:equalWidth="0" w:num="1">
            <w:col w:w="11360"/>
          </w:cols>
          <w:pgMar w:left="240" w:top="724" w:right="299" w:bottom="1440" w:gutter="0" w:footer="0" w:header="0"/>
          <w:type w:val="continuous"/>
        </w:sectPr>
      </w:pPr>
    </w:p>
    <w:bookmarkStart w:id="78" w:name="page79"/>
    <w:bookmarkEnd w:id="78"/>
    <w:tbl>
      <w:tblPr>
        <w:tblLayout w:type="fixed"/>
        <w:tblInd w:w="205"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8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0"/>
        </w:trPr>
        <w:tc>
          <w:tcPr>
            <w:tcW w:w="156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5"/>
          </w:cols>
          <w:pgMar w:left="275" w:top="724" w:right="399" w:bottom="1440" w:gutter="0" w:footer="0" w:header="0"/>
        </w:sectPr>
      </w:pPr>
    </w:p>
    <w:p>
      <w:pPr>
        <w:spacing w:after="0" w:line="262"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10.37</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Director and Officer Indemnification Agreement</w:t>
            </w:r>
          </w:p>
        </w:tc>
      </w:tr>
      <w:tr>
        <w:trPr>
          <w:trHeight w:val="481"/>
        </w:trPr>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10.38</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Loan Agreement, dated March 30, 2016, by and between Z.B., N.A.,</w:t>
            </w:r>
          </w:p>
        </w:tc>
      </w:tr>
      <w:tr>
        <w:trPr>
          <w:trHeight w:val="234"/>
        </w:trPr>
        <w:tc>
          <w:tcPr>
            <w:tcW w:w="72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LifeVantage Corporation and Lifeline Nutraceuticals Corporation</w:t>
            </w:r>
          </w:p>
        </w:tc>
      </w:tr>
      <w:tr>
        <w:trPr>
          <w:trHeight w:val="481"/>
        </w:trPr>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10.39</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Security Agreement, dated March 30, 2016, by and between Z.B.,</w:t>
            </w:r>
          </w:p>
        </w:tc>
      </w:tr>
      <w:tr>
        <w:trPr>
          <w:trHeight w:val="216"/>
        </w:trPr>
        <w:tc>
          <w:tcPr>
            <w:tcW w:w="7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 LifeVantage Corporation and Lifeline Nutraceuticals</w:t>
            </w:r>
          </w:p>
        </w:tc>
      </w:tr>
      <w:tr>
        <w:trPr>
          <w:trHeight w:val="234"/>
        </w:trPr>
        <w:tc>
          <w:tcPr>
            <w:tcW w:w="72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10.1 to Form 8-K filed on January 8, 2016.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to Form 8-K filed on April 4, 2016.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10.2 to Form 8-K filed on April 4, 2016.</w:t>
      </w:r>
    </w:p>
    <w:p>
      <w:pPr>
        <w:spacing w:after="0" w:line="659" w:lineRule="exact"/>
        <w:rPr>
          <w:sz w:val="20"/>
          <w:szCs w:val="20"/>
          <w:color w:val="auto"/>
        </w:rPr>
      </w:pPr>
    </w:p>
    <w:p>
      <w:pPr>
        <w:sectPr>
          <w:pgSz w:w="11900" w:h="16838" w:orient="portrait"/>
          <w:cols w:equalWidth="0" w:num="2">
            <w:col w:w="5985" w:space="300"/>
            <w:col w:w="4940"/>
          </w:cols>
          <w:pgMar w:left="275" w:top="724" w:right="399" w:bottom="1440" w:gutter="0" w:footer="0" w:header="0"/>
          <w:type w:val="continuous"/>
        </w:sectPr>
      </w:pPr>
    </w:p>
    <w:p>
      <w:pPr>
        <w:spacing w:after="0" w:line="65"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List of Subsidiaries.</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A to Form 10-K for the fiscal year ended June 30, 2014 filed</w:t>
            </w:r>
          </w:p>
        </w:tc>
      </w:tr>
      <w:tr>
        <w:trPr>
          <w:trHeight w:val="234"/>
        </w:trPr>
        <w:tc>
          <w:tcPr>
            <w:tcW w:w="6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September 10, 2014.</w:t>
            </w:r>
          </w:p>
        </w:tc>
      </w:tr>
      <w:tr>
        <w:trPr>
          <w:trHeight w:val="50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EKS&amp;H LLLP</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0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WSRP, LLC</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0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of Attorney</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Signature page to this report.</w:t>
            </w:r>
          </w:p>
        </w:tc>
      </w:tr>
      <w:tr>
        <w:trPr>
          <w:trHeight w:val="4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68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5040" w:type="dxa"/>
            <w:vAlign w:val="bottom"/>
          </w:tcPr>
          <w:p>
            <w:pPr>
              <w:spacing w:after="0"/>
              <w:rPr>
                <w:sz w:val="20"/>
                <w:szCs w:val="20"/>
                <w:color w:val="auto"/>
              </w:rPr>
            </w:pPr>
          </w:p>
        </w:tc>
      </w:tr>
      <w:tr>
        <w:trPr>
          <w:trHeight w:val="4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68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5040" w:type="dxa"/>
            <w:vAlign w:val="bottom"/>
          </w:tcPr>
          <w:p>
            <w:pPr>
              <w:spacing w:after="0"/>
              <w:rPr>
                <w:sz w:val="20"/>
                <w:szCs w:val="20"/>
                <w:color w:val="auto"/>
              </w:rPr>
            </w:pPr>
          </w:p>
        </w:tc>
      </w:tr>
      <w:tr>
        <w:trPr>
          <w:trHeight w:val="4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68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5040" w:type="dxa"/>
            <w:vAlign w:val="bottom"/>
          </w:tcPr>
          <w:p>
            <w:pPr>
              <w:spacing w:after="0"/>
              <w:rPr>
                <w:sz w:val="20"/>
                <w:szCs w:val="20"/>
                <w:color w:val="auto"/>
              </w:rPr>
            </w:pPr>
          </w:p>
        </w:tc>
      </w:tr>
      <w:tr>
        <w:trPr>
          <w:trHeight w:val="4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68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5040" w:type="dxa"/>
            <w:vAlign w:val="bottom"/>
          </w:tcPr>
          <w:p>
            <w:pPr>
              <w:spacing w:after="0"/>
              <w:rPr>
                <w:sz w:val="20"/>
                <w:szCs w:val="20"/>
                <w:color w:val="auto"/>
              </w:rPr>
            </w:pPr>
          </w:p>
        </w:tc>
      </w:tr>
      <w:tr>
        <w:trPr>
          <w:trHeight w:val="4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financial information from the registrant’s Annual</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68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10-K for the year ended June 30, 2016 formatted in</w:t>
            </w:r>
          </w:p>
        </w:tc>
        <w:tc>
          <w:tcPr>
            <w:tcW w:w="50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(eXtensible Business Reporting Language): (i) Consolidated</w:t>
            </w:r>
          </w:p>
        </w:tc>
        <w:tc>
          <w:tcPr>
            <w:tcW w:w="50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Sheets; (ii) Consolidated Statements of Operations and Other</w:t>
            </w:r>
          </w:p>
        </w:tc>
        <w:tc>
          <w:tcPr>
            <w:tcW w:w="50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 (iii) Consolidated Statement of</w:t>
            </w:r>
          </w:p>
        </w:tc>
        <w:tc>
          <w:tcPr>
            <w:tcW w:w="50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 Deficit; (iv) Consolidated Statements of Cash Flows;</w:t>
            </w:r>
          </w:p>
        </w:tc>
        <w:tc>
          <w:tcPr>
            <w:tcW w:w="50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(v) Notes to Consolidated Financial Statements, tagged as blocks</w:t>
            </w:r>
          </w:p>
        </w:tc>
        <w:tc>
          <w:tcPr>
            <w:tcW w:w="504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text.</w:t>
            </w:r>
          </w:p>
        </w:tc>
        <w:tc>
          <w:tcPr>
            <w:tcW w:w="5040" w:type="dxa"/>
            <w:vAlign w:val="bottom"/>
          </w:tcPr>
          <w:p>
            <w:pPr>
              <w:spacing w:after="0"/>
              <w:rPr>
                <w:sz w:val="20"/>
                <w:szCs w:val="20"/>
                <w:color w:val="auto"/>
              </w:rPr>
            </w:pPr>
          </w:p>
        </w:tc>
      </w:tr>
    </w:tbl>
    <w:p>
      <w:pPr>
        <w:spacing w:after="0" w:line="306" w:lineRule="exact"/>
        <w:rPr>
          <w:sz w:val="20"/>
          <w:szCs w:val="20"/>
          <w:color w:val="auto"/>
        </w:rPr>
      </w:pPr>
    </w:p>
    <w:p>
      <w:pPr>
        <w:ind w:left="1145" w:hanging="1145"/>
        <w:spacing w:after="0"/>
        <w:tabs>
          <w:tab w:leader="none" w:pos="11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63" w:lineRule="exact"/>
        <w:rPr>
          <w:sz w:val="20"/>
          <w:szCs w:val="20"/>
          <w:color w:val="auto"/>
        </w:rPr>
      </w:pPr>
    </w:p>
    <w:p>
      <w:pPr>
        <w:ind w:left="1145" w:right="120" w:hanging="1145"/>
        <w:spacing w:after="0" w:line="282" w:lineRule="auto"/>
        <w:tabs>
          <w:tab w:leader="none" w:pos="11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8" w:lineRule="exact"/>
        <w:rPr>
          <w:rFonts w:ascii="Times New Roman" w:cs="Times New Roman" w:eastAsia="Times New Roman" w:hAnsi="Times New Roman"/>
          <w:sz w:val="18"/>
          <w:szCs w:val="18"/>
          <w:color w:val="auto"/>
        </w:rPr>
      </w:pPr>
    </w:p>
    <w:p>
      <w:pPr>
        <w:ind w:left="5605" w:hanging="98"/>
        <w:spacing w:after="0"/>
        <w:tabs>
          <w:tab w:leader="none" w:pos="56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w:t>
      </w:r>
    </w:p>
    <w:p>
      <w:pPr>
        <w:sectPr>
          <w:pgSz w:w="11900" w:h="16838" w:orient="portrait"/>
          <w:cols w:equalWidth="0" w:num="1">
            <w:col w:w="11225"/>
          </w:cols>
          <w:pgMar w:left="275" w:top="724" w:right="399" w:bottom="1440" w:gutter="0" w:footer="0" w:header="0"/>
          <w:type w:val="continuous"/>
        </w:sectPr>
      </w:pPr>
    </w:p>
    <w:bookmarkStart w:id="79" w:name="page80"/>
    <w:bookmarkEnd w:id="7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LIFEVANTAGE CORPORATION</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Reports of Independent Registered Public Accounting Firms</w:t>
              </w:r>
            </w:hyperlink>
          </w:p>
        </w:tc>
        <w:tc>
          <w:tcPr>
            <w:tcW w:w="82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3"/>
              </w:rPr>
            </w:pPr>
            <w:hyperlink w:anchor="page81">
              <w:r>
                <w:rPr>
                  <w:rFonts w:ascii="Times New Roman" w:cs="Times New Roman" w:eastAsia="Times New Roman" w:hAnsi="Times New Roman"/>
                  <w:sz w:val="18"/>
                  <w:szCs w:val="18"/>
                  <w:color w:val="0000EE"/>
                  <w:w w:val="93"/>
                </w:rPr>
                <w:t>F - 2</w:t>
              </w:r>
            </w:hyperlink>
          </w:p>
        </w:tc>
        <w:tc>
          <w:tcPr>
            <w:tcW w:w="80" w:type="dxa"/>
            <w:vAlign w:val="bottom"/>
          </w:tcPr>
          <w:p>
            <w:pPr>
              <w:spacing w:after="0"/>
              <w:rPr>
                <w:sz w:val="17"/>
                <w:szCs w:val="17"/>
                <w:color w:val="auto"/>
              </w:rPr>
            </w:pPr>
          </w:p>
        </w:tc>
      </w:tr>
      <w:tr>
        <w:trPr>
          <w:trHeight w:val="250"/>
        </w:trPr>
        <w:tc>
          <w:tcPr>
            <w:tcW w:w="5180" w:type="dxa"/>
            <w:vAlign w:val="bottom"/>
            <w:gridSpan w:val="8"/>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Financial Statements:</w:t>
              </w:r>
            </w:hyperlink>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254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Balance Sheets</w:t>
              </w:r>
            </w:hyperlink>
          </w:p>
        </w:tc>
        <w:tc>
          <w:tcPr>
            <w:tcW w:w="2640" w:type="dxa"/>
            <w:vAlign w:val="bottom"/>
            <w:gridSpan w:val="6"/>
          </w:tcPr>
          <w:p>
            <w:pPr>
              <w:spacing w:after="0"/>
              <w:rPr>
                <w:sz w:val="21"/>
                <w:szCs w:val="21"/>
                <w:color w:val="auto"/>
              </w:rPr>
            </w:pPr>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80"/>
              <w:spacing w:after="0"/>
              <w:rPr>
                <w:rFonts w:ascii="Times New Roman" w:cs="Times New Roman" w:eastAsia="Times New Roman" w:hAnsi="Times New Roman"/>
                <w:sz w:val="18"/>
                <w:szCs w:val="18"/>
                <w:color w:val="0000EE"/>
                <w:w w:val="93"/>
              </w:rPr>
            </w:pPr>
            <w:hyperlink w:anchor="page84">
              <w:r>
                <w:rPr>
                  <w:rFonts w:ascii="Times New Roman" w:cs="Times New Roman" w:eastAsia="Times New Roman" w:hAnsi="Times New Roman"/>
                  <w:sz w:val="18"/>
                  <w:szCs w:val="18"/>
                  <w:color w:val="0000EE"/>
                  <w:w w:val="93"/>
                </w:rPr>
                <w:t>F - 5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Consolidated Statements of Operations and Comprehensive Income</w:t>
              </w:r>
            </w:hyperlink>
          </w:p>
        </w:tc>
        <w:tc>
          <w:tcPr>
            <w:tcW w:w="3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3"/>
              </w:rPr>
            </w:pPr>
            <w:hyperlink w:anchor="page85">
              <w:r>
                <w:rPr>
                  <w:rFonts w:ascii="Times New Roman" w:cs="Times New Roman" w:eastAsia="Times New Roman" w:hAnsi="Times New Roman"/>
                  <w:sz w:val="18"/>
                  <w:szCs w:val="18"/>
                  <w:color w:val="0000EE"/>
                  <w:w w:val="93"/>
                </w:rPr>
                <w:t>F - 6</w:t>
              </w:r>
            </w:hyperlink>
          </w:p>
        </w:tc>
        <w:tc>
          <w:tcPr>
            <w:tcW w:w="80" w:type="dxa"/>
            <w:vAlign w:val="bottom"/>
          </w:tcPr>
          <w:p>
            <w:pPr>
              <w:spacing w:after="0"/>
              <w:rPr>
                <w:sz w:val="21"/>
                <w:szCs w:val="21"/>
                <w:color w:val="auto"/>
              </w:rPr>
            </w:pPr>
          </w:p>
        </w:tc>
      </w:tr>
      <w:tr>
        <w:trPr>
          <w:trHeight w:val="250"/>
        </w:trPr>
        <w:tc>
          <w:tcPr>
            <w:tcW w:w="5180" w:type="dxa"/>
            <w:vAlign w:val="bottom"/>
            <w:gridSpan w:val="8"/>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Stockholders’ Equity</w:t>
              </w:r>
            </w:hyperlink>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80"/>
              <w:spacing w:after="0"/>
              <w:rPr>
                <w:rFonts w:ascii="Times New Roman" w:cs="Times New Roman" w:eastAsia="Times New Roman" w:hAnsi="Times New Roman"/>
                <w:sz w:val="18"/>
                <w:szCs w:val="18"/>
                <w:color w:val="0000EE"/>
                <w:w w:val="93"/>
              </w:rPr>
            </w:pPr>
            <w:hyperlink w:anchor="page86">
              <w:r>
                <w:rPr>
                  <w:rFonts w:ascii="Times New Roman" w:cs="Times New Roman" w:eastAsia="Times New Roman" w:hAnsi="Times New Roman"/>
                  <w:sz w:val="18"/>
                  <w:szCs w:val="18"/>
                  <w:color w:val="0000EE"/>
                  <w:w w:val="93"/>
                </w:rPr>
                <w:t>F - 7</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Consolidated Statements of Cash Flows</w:t>
              </w:r>
            </w:hyperlink>
          </w:p>
        </w:tc>
        <w:tc>
          <w:tcPr>
            <w:tcW w:w="1640" w:type="dxa"/>
            <w:vAlign w:val="bottom"/>
            <w:gridSpan w:val="3"/>
          </w:tcPr>
          <w:p>
            <w:pPr>
              <w:spacing w:after="0"/>
              <w:rPr>
                <w:sz w:val="21"/>
                <w:szCs w:val="21"/>
                <w:color w:val="auto"/>
              </w:rPr>
            </w:pPr>
          </w:p>
        </w:tc>
        <w:tc>
          <w:tcPr>
            <w:tcW w:w="6080" w:type="dxa"/>
            <w:vAlign w:val="bottom"/>
            <w:gridSpan w:val="5"/>
          </w:tcPr>
          <w:p>
            <w:pPr>
              <w:jc w:val="right"/>
              <w:ind w:right="8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F - 8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anchor="page88">
              <w:r>
                <w:rPr>
                  <w:rFonts w:ascii="Times New Roman" w:cs="Times New Roman" w:eastAsia="Times New Roman" w:hAnsi="Times New Roman"/>
                  <w:sz w:val="18"/>
                  <w:szCs w:val="18"/>
                  <w:color w:val="0000EE"/>
                </w:rPr>
                <w:t>F - 9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180" w:type="dxa"/>
            <w:vAlign w:val="bottom"/>
            <w:gridSpan w:val="8"/>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Notes to Consolidated Financial Statements</w:t>
              </w:r>
            </w:hyperlink>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spacing w:after="0"/>
              <w:rPr>
                <w:rFonts w:ascii="Times New Roman" w:cs="Times New Roman" w:eastAsia="Times New Roman" w:hAnsi="Times New Roman"/>
                <w:sz w:val="18"/>
                <w:szCs w:val="18"/>
                <w:color w:val="0000EE"/>
                <w:w w:val="92"/>
              </w:rPr>
            </w:pPr>
            <w:hyperlink w:anchor="page89">
              <w:r>
                <w:rPr>
                  <w:rFonts w:ascii="Times New Roman" w:cs="Times New Roman" w:eastAsia="Times New Roman" w:hAnsi="Times New Roman"/>
                  <w:sz w:val="18"/>
                  <w:szCs w:val="18"/>
                  <w:color w:val="0000EE"/>
                  <w:w w:val="92"/>
                </w:rPr>
                <w:t>F - 10</w:t>
              </w:r>
            </w:hyperlink>
          </w:p>
        </w:tc>
      </w:tr>
      <w:tr>
        <w:trPr>
          <w:trHeight w:val="642"/>
        </w:trPr>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 - 1</w:t>
            </w:r>
          </w:p>
        </w:tc>
        <w:tc>
          <w:tcPr>
            <w:tcW w:w="420" w:type="dxa"/>
            <w:vAlign w:val="bottom"/>
            <w:tcBorders>
              <w:top w:val="single" w:sz="8" w:color="0000EE"/>
            </w:tcBorders>
            <w:gridSpan w:val="2"/>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Utah</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LifeVantage Corporation and subsidiaries (the “Company”) as of June 30, 2016, and the related consolidated statements of operations and comprehensive income, stockholders’ equity, and cash flows for the year ended June 30, 2016. These consolidated financial statements are the responsibility of the Company’s management. Our responsibility is to express an opinion on these financial statements based on our audit.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June 30, 2016, and the results of its operations and its cash flows for the year ended June 30, 2016, in conformity with accounting principles generally accepted in the United States of America.</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Company’s internal control over financial reporting as of June 30, 2016,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(the COSO criteria) and our report dated December 12, 2016 expressed an adverse opinion thereon.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WSRP,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ectPr>
          <w:pgSz w:w="11900" w:h="16838" w:orient="portrait"/>
          <w:cols w:equalWidth="0" w:num="1">
            <w:col w:w="11420"/>
          </w:cols>
          <w:pgMar w:left="240" w:top="576" w:right="2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Utah</w:t>
      </w:r>
    </w:p>
    <w:p>
      <w:pPr>
        <w:spacing w:after="0" w:line="34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LifeVantage Corporation's (the "Company") internal control over financial reporting as of June 30, 2016,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(the COSO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these financial statements and an opinion on the Company's internal control over financial reporting based on our audit.</w:t>
      </w:r>
    </w:p>
    <w:p>
      <w:pPr>
        <w:spacing w:after="0" w:line="1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lack of sufficient controls surrounding the Company's international business policies, practices, monitoring and training has been identified and described in management's assessment. This material weakness was considered in determining the nature, timing, and extent of audit tests applied in our audit of the 2016 financial statements, and this report does not affect our report dated December 12, 2016 on those financial statements.</w:t>
      </w:r>
    </w:p>
    <w:p>
      <w:pPr>
        <w:spacing w:after="0" w:line="1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our opinion, the Company did not maintain, in all material respects, effective internal control over financial reporting as of June 30, 2016, based on the COSO criteria.</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balance sheet of the Company as of June 30, 2016 and the related consolidated statements of operations and comprehensive income, stockholders' equity, and cash flows for the year ended June 30, 2016 and our report dated December 12, 2016 express an unqualified opinion thereon.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WSRP,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2016</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- 3</w:t>
      </w:r>
    </w:p>
    <w:p>
      <w:pPr>
        <w:sectPr>
          <w:pgSz w:w="11900" w:h="16838" w:orient="portrait"/>
          <w:cols w:equalWidth="0" w:num="1">
            <w:col w:w="11420"/>
          </w:cols>
          <w:pgMar w:left="240" w:top="576"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Utah</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LifeVantage Corporation and subsidiaries (the “Company”) as of June 30, 2015, and the related consolidated statements of operations and comprehensive income, changes in stockholders’ equity, and cash flows for each of the years in the two-year period ended June 30, 2015. The Company’s management is responsible for these financial statements. Our responsibility is to express an opinion on these financial statements based on our audits.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LifeVantage Corporation and subsidiaries as of June 30, 2015, and the results of their operations and their cash flows for each of the years in the two-year period ended June 30, 2015, in conformity with accounting principles generally accepted in the United States of America.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EKS&amp;H LLLP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ectPr>
          <w:pgSz w:w="11900" w:h="16838" w:orient="portrait"/>
          <w:cols w:equalWidth="0" w:num="1">
            <w:col w:w="11420"/>
          </w:cols>
          <w:pgMar w:left="240" w:top="927"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2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0"/>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13,905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9,248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deferred income tax asset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30,475</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deferred income tax asset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39,781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payable</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11,141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25,860</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amount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10,484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unamortized discount and deferred offering costs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unamortized discount and deferred offering costs</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37"/>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38,128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36,456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 par value $0.001, 50,000 shares authorized, no shares issued or outstanding</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par value $0.001, 250,000 shares authorized and 14,028 and 13,958 issued</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as of June 30, 2016 and 2015, respectively</w:t>
            </w:r>
          </w:p>
        </w:tc>
        <w:tc>
          <w:tcPr>
            <w:tcW w:w="1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117,657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7"/>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39,781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- 5</w:t>
      </w:r>
    </w:p>
    <w:p>
      <w:pPr>
        <w:sectPr>
          <w:pgSz w:w="11900" w:h="16838" w:orient="portrait"/>
          <w:cols w:equalWidth="0" w:num="1">
            <w:col w:w="11420"/>
          </w:cols>
          <w:pgMar w:left="240" w:top="580" w:right="2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206,540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190,336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213,968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172,608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180,774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103,120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104,525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57,353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159,194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148,427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161,326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70"/>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6,019</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11,380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ectPr>
          <w:pgSz w:w="11900" w:h="16838" w:orient="portrait"/>
          <w:cols w:equalWidth="0" w:num="1">
            <w:col w:w="11420"/>
          </w:cols>
          <w:pgMar w:left="240" w:top="580"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2016, 2015, and 2014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12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3"/>
                <w:szCs w:val="13"/>
                <w:color w:val="auto"/>
              </w:rPr>
            </w:pPr>
          </w:p>
        </w:tc>
        <w:tc>
          <w:tcPr>
            <w:tcW w:w="21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10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4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June 30, 2013</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16,732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33,945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canceled or surrendered as payment of tax 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company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11,383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June 30, 2014</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14,601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115,331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(111,240)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3,990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canceled or surrendered as payment of tax 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company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6,987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June 30, 2015</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13,958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117,657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(114,095)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3,325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canceled or surrendered as payment of tax 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June 30, 2016</w:t>
            </w: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14,028</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120,150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(108,076)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43</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12,131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ectPr>
          <w:pgSz w:w="11900" w:h="16838" w:orient="portrait"/>
          <w:cols w:equalWidth="0" w:num="1">
            <w:col w:w="11420"/>
          </w:cols>
          <w:pgMar w:left="240" w:top="580"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820" w:type="dxa"/>
            <w:vAlign w:val="bottom"/>
            <w:tcBorders>
              <w:bottom w:val="single" w:sz="8" w:color="auto"/>
            </w:tcBorders>
          </w:tcPr>
          <w:p>
            <w:pPr>
              <w:spacing w:after="0"/>
              <w:rPr>
                <w:sz w:val="16"/>
                <w:szCs w:val="16"/>
                <w:color w:val="auto"/>
              </w:rPr>
            </w:pPr>
          </w:p>
        </w:tc>
      </w:tr>
      <w:tr>
        <w:trPr>
          <w:trHeight w:val="262"/>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0"/>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11,383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Write-off of capitalized debt transaction costs pursuant to debt refinance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Decrease/(increase) in receivables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Decrease/(increase) in inventory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1,646</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Decrease/(increase) in prepaid expenses and deposits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Decrease/(increase) in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Increase/(decrease) in accounts payable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Increase/(decrease) in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Increase/(decrease) in other long-term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13,221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12,105</w:t>
            </w:r>
          </w:p>
        </w:tc>
      </w:tr>
      <w:tr>
        <w:trPr>
          <w:trHeight w:val="22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r>
      <w:tr>
        <w:trPr>
          <w:trHeight w:val="22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term loan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45,825</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on term loan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(15,804)</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26,299</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13,905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20,387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ectPr>
          <w:pgSz w:w="11900" w:h="16838" w:orient="portrait"/>
          <w:cols w:equalWidth="0" w:num="1">
            <w:col w:w="11420"/>
          </w:cols>
          <w:pgMar w:left="240" w:top="580"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8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property and equipment/other long-term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4,879</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stock shares issued upon cashless warrant exercises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cashless exercise price of warrants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1,615</w:t>
            </w: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warrants underlying cashless exercises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487</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ectPr>
          <w:pgSz w:w="11900" w:h="16838" w:orient="portrait"/>
          <w:cols w:equalWidth="0" w:num="1">
            <w:col w:w="11420"/>
          </w:cols>
          <w:pgMar w:left="240" w:top="580"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LIFEVANTAGE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14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LifeVantage Corporation is a company dedicated to helping people achieve their health, wellness and financial independence goals. We provide quality, scientifically-validated products and a financially rewarding direct sales business opportunity to preferred customers, retail customers and independent distributors who seek a healthy lifestyle and financial freedom. We sell our products to preferred customers, retail customers and independent distributors located in the United States, Japan, Hong Kong, Australia, Canada, the Philippines, Mexico, Thailand, the United Kingdom and the Netherlands.</w:t>
      </w:r>
    </w:p>
    <w:p>
      <w:pPr>
        <w:spacing w:after="0" w:line="99" w:lineRule="exact"/>
        <w:rPr>
          <w:sz w:val="20"/>
          <w:szCs w:val="20"/>
          <w:color w:val="auto"/>
        </w:rPr>
      </w:pPr>
    </w:p>
    <w:p>
      <w:pPr>
        <w:ind w:right="20" w:firstLine="405"/>
        <w:spacing w:after="0" w:line="214" w:lineRule="auto"/>
        <w:rPr>
          <w:sz w:val="20"/>
          <w:szCs w:val="20"/>
          <w:color w:val="auto"/>
        </w:rPr>
      </w:pPr>
      <w:r>
        <w:rPr>
          <w:rFonts w:ascii="Times New Roman" w:cs="Times New Roman" w:eastAsia="Times New Roman" w:hAnsi="Times New Roman"/>
          <w:sz w:val="18"/>
          <w:szCs w:val="18"/>
          <w:color w:val="auto"/>
        </w:rPr>
        <w:t>We engage in the identification, research, development and distribution of advanced nutraceutical dietary supplements and skin care products, including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line of scientifically-validated dietary supplements,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line of anti-aging skin care products, Canine Health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companion pet supplement formulated to combat oxidative stress in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energy drink mixes,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smart weight management system.</w:t>
      </w:r>
    </w:p>
    <w:p>
      <w:pPr>
        <w:spacing w:after="0" w:line="11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4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accounts and transactions are eliminated in consolidation. During fiscal 2014, the Company combined the line items sales and marketing, general and administrative, research and development, and depreciation and amortization into two line items on the consolidated statements of operations and comprehensive income, namely, commissions and incentives and selling, general and administrative to have a presentation that is more comparable to that of the Company’s peers. The Company reclassified prior period line items to conform to the current period presentation. Certain other prior period balances have also been reclassified to conform to the current period presentation.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and related disclosures in conformity with accounting principles generally accepted in the United States of America (GAAP). In preparing these statements, we are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we review our estimates, including those related to inventory valuation and obsolescence, sales returns, income taxes and tax valuation reserves, share-based compensation, and loss contingencies.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income (expense), net in the consolidated statements of operations and comprehensive income.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4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Accounting guidance on fair value measurements and disclosures requires disclosures about the fair value for all financial instruments, whether or not recognized, for financial statement purposes. Disclosures about fair value of financial instruments are based on pertinent information available to management as of June 30, 2016 and 2015. Accordingly, the estimates presented in these consolidated financial statements are not necessarily indicative of the amounts that could be realized on disposition of the financial instruments.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ectPr>
          <w:pgSz w:w="11900" w:h="16838" w:orient="portrait"/>
          <w:cols w:equalWidth="0" w:num="1">
            <w:col w:w="11420"/>
          </w:cols>
          <w:pgMar w:left="240" w:top="576" w:right="239" w:bottom="1440" w:gutter="0" w:footer="0" w:header="0"/>
        </w:sectPr>
      </w:pPr>
    </w:p>
    <w:bookmarkStart w:id="89" w:name="page90"/>
    <w:bookmarkEnd w:id="89"/>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Management has estimated the fair values of cash and cash equivalents, accounts receivable, accounts payable, commissions payable and other accrued expenses to approximate their respective carrying values reported in these consolidated financial statements because of their short maturities.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to be cash and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for the years ended June 30, 2016 and 2015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2016 or 2015 is not necessary. No bad debt expense has been recorded for the years ended June 30, 2016, 2015, and 2014.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2016 and 2015, inventory consisted of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3,465</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inventory</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9,248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Inventories are carried and depicted above at the lower of cost or market, using the first-in, first-out method, which includes a reduction in inventory values of $0.4 million and $0.3 million at June 30, 2016 and June 30, 2015, respectively, related to obsolete and slow-moving inventory.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following useful lives: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r>
      <w:tr>
        <w:trPr>
          <w:trHeight w:val="27"/>
        </w:trPr>
        <w:tc>
          <w:tcPr>
            <w:tcW w:w="9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(includes computer hardware and software)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estimated useful life of the related asset or the lease term.</w:t>
      </w:r>
    </w:p>
    <w:p>
      <w:pPr>
        <w:spacing w:after="0" w:line="14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income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 An impairment loss is recognized if the carrying amount of the asset exceeds its fair value. During the year ended June 30, 2016, the Company recognized a loss on disposal of $1.2 million related to the write-off of previously capitalized software development costs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ectPr>
          <w:pgSz w:w="11900" w:h="16838" w:orient="portrait"/>
          <w:cols w:equalWidth="0" w:num="1">
            <w:col w:w="11420"/>
          </w:cols>
          <w:pgMar w:left="240" w:top="580"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is recoverable. Measurement of the amount of impairment, if any, is based upon the difference between the asset’s carrying value and estimated fair value.</w:t>
      </w:r>
    </w:p>
    <w:p>
      <w:pPr>
        <w:spacing w:after="0" w:line="14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were completed resulting in no impairment charges for any of the periods shown.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years ended June 30, 2016 and 2015 management has concluded that there are no indications of impairment.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cash equivalents. At June 30, 2016, the Company had $4.6 million in cash accounts at one financial institution and $3.3 million in other financial institutions. As of June 30, 2016 and 2015, and during the years then ended, the Company’s cash balances exceeded federally insured limits.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June 30, 2016 and 2015, the Company’s reserve balance for returns and allowances was $0.3 million and $0.1 million,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Incentives</w:t>
      </w:r>
    </w:p>
    <w:p>
      <w:pPr>
        <w:spacing w:after="0" w:line="148" w:lineRule="exact"/>
        <w:rPr>
          <w:sz w:val="20"/>
          <w:szCs w:val="20"/>
          <w:color w:val="auto"/>
        </w:rPr>
      </w:pPr>
    </w:p>
    <w:p>
      <w:pPr>
        <w:ind w:right="500" w:firstLine="405"/>
        <w:spacing w:after="0" w:line="261" w:lineRule="auto"/>
        <w:rPr>
          <w:sz w:val="20"/>
          <w:szCs w:val="20"/>
          <w:color w:val="auto"/>
        </w:rPr>
      </w:pPr>
      <w:r>
        <w:rPr>
          <w:rFonts w:ascii="Times New Roman" w:cs="Times New Roman" w:eastAsia="Times New Roman" w:hAnsi="Times New Roman"/>
          <w:sz w:val="18"/>
          <w:szCs w:val="18"/>
          <w:color w:val="auto"/>
        </w:rPr>
        <w:t>Commissions and incentives expenses are the Company’s most significant expenses and are classified as operating expenses. Commissions and incentives expenses include sales commissions paid to our independent distributors, special incentives, costs for incentive trips and other rewards. Commissions and incentives expenses do not include any amounts we pay to our independent distributors for personal purchases. Commissions paid to independent distributors on personal purchases are considered a sales discount and are reported as a reduction to our net revenue.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4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years ended June 30, 2016, 2015, and 2014 were $1.0 million, $2.4 million, and $2.0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- 12</w:t>
      </w:r>
    </w:p>
    <w:p>
      <w:pPr>
        <w:sectPr>
          <w:pgSz w:w="11900" w:h="16838" w:orient="portrait"/>
          <w:cols w:equalWidth="0" w:num="1">
            <w:col w:w="11400"/>
          </w:cols>
          <w:pgMar w:left="240" w:top="580" w:right="259" w:bottom="1440" w:gutter="0" w:footer="0" w:header="0"/>
        </w:sectPr>
      </w:pPr>
    </w:p>
    <w:bookmarkStart w:id="91" w:name="page92"/>
    <w:bookmarkEnd w:id="91"/>
    <w:p>
      <w:pPr>
        <w:ind w:firstLine="405"/>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0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fair value of restricted stock grants is based on the closing market price of the Company's stock on the date of grant less the Company's expected dividend yield. The fair value of performance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48"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In October 2015, following approval of the Company's shareholders, the Company's board of directors approved the filing of an amendment to the Company's amended and restated articles of incorporation to effectuate a reverse split of the issued and outstanding shares of the Company's common stock on a one-for-seven basis. The reverse stock split was effective on October 19, 2015. The par value and authorized number of shares of common stock were not adjusted as a result of the reverse split. All fractional shares resulting from the reverse stock split were rounded up. All issued and outstanding common stock and per share amounts contained within the Company's consolidated financial statements and footnotes have been retroactively adjusted to reflect this reverse stock split for all periods presented.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w:t>
      </w:r>
    </w:p>
    <w:p>
      <w:pPr>
        <w:spacing w:after="0" w:line="10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4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9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effects of approximately 0.2 million and 0.4 million common shares issuable upon exercise of options and non-vested shares of restricted stock outstanding as of June 30, 2016 and 2015, respectively, are not included in the computations as their effect was anti-dilutive.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ectPr>
          <w:pgSz w:w="11900" w:h="16838" w:orient="portrait"/>
          <w:cols w:equalWidth="0" w:num="1">
            <w:col w:w="11420"/>
          </w:cols>
          <w:pgMar w:left="240" w:top="580" w:right="239" w:bottom="1440" w:gutter="0" w:footer="0" w:header="0"/>
        </w:sectPr>
      </w:pPr>
    </w:p>
    <w:bookmarkStart w:id="92" w:name="page93"/>
    <w:bookmarkEnd w:id="92"/>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11,383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15,113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awards and options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14,150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15,943</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Net income per share, basic</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area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138,118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141,227</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52,218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72,741</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190,336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213,968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information as to the Company’s revenue from operations in the most significant geographical areas is set forth below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152,830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132,831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136,758</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36,343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41,428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61,872</w:t>
            </w:r>
          </w:p>
        </w:tc>
      </w:tr>
    </w:tbl>
    <w:p>
      <w:pPr>
        <w:spacing w:after="0" w:line="14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long-lived assets were $4.2 million in the U.S. and $1.3 million in Japan. As of June 30, 2015 long-lived assets were $6.5 million in the U.S. and $1.5 million in Japan.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Products</w:t>
      </w:r>
    </w:p>
    <w:p>
      <w:pPr>
        <w:spacing w:after="0" w:line="148" w:lineRule="exact"/>
        <w:rPr>
          <w:sz w:val="20"/>
          <w:szCs w:val="20"/>
          <w:color w:val="auto"/>
        </w:rPr>
      </w:pPr>
    </w:p>
    <w:p>
      <w:pPr>
        <w:ind w:firstLine="405"/>
        <w:spacing w:after="0" w:line="233" w:lineRule="auto"/>
        <w:rPr>
          <w:sz w:val="20"/>
          <w:szCs w:val="20"/>
          <w:color w:val="auto"/>
        </w:rPr>
      </w:pPr>
      <w:r>
        <w:rPr>
          <w:rFonts w:ascii="Times New Roman" w:cs="Times New Roman" w:eastAsia="Times New Roman" w:hAnsi="Times New Roman"/>
          <w:sz w:val="18"/>
          <w:szCs w:val="18"/>
          <w:color w:val="auto"/>
        </w:rPr>
        <w:t>The Company's revenues are largely attributed to two product lines,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the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regimen, which each accounted for more than 10% of total revenues for each of the years ended June 30, 2016, 2015 and 2014. On a combined basis, these products represent approximately 77.9%, 83.7% and 88.5% of our worldwide gross revenues for the years ended June 30, 2016, 2015 and 2014, respectively. The following table shows revenues by major product line for the years ended June 30, 2016, 2015 and 2014.</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ectPr>
          <w:pgSz w:w="11900" w:h="16838" w:orient="portrait"/>
          <w:cols w:equalWidth="0" w:num="1">
            <w:col w:w="11420"/>
          </w:cols>
          <w:pgMar w:left="240" w:top="58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38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product line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128,019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120,967</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142,935</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LifeVantage TrueScience® skin care regimen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206,540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190,336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213,968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46"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Codification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which supersedes the revenue recognition requirements in ASC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The core principle of the new standard is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recognize revenue to depict the transfer of goods or services to customers in amounts that reflect the consideration it expects to receive in exchange for those goods or services. ASC 606 will be effective for the Company in the first quarter of fiscal 2019. The Company has performed a detailed analysis and does not anticipate that ASC 606 will have a significant impact on revenue recognition or its consolidated financial statements due to the types of revenue transactions that the Company enters into.</w:t>
      </w:r>
    </w:p>
    <w:p>
      <w:pPr>
        <w:spacing w:after="0" w:line="104"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Subsequent to the release of the updated revenue recognition standard discussed above, FASB issued Accounting Standards Update (ASU)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 Revenue Gross versus Net)</w:t>
      </w:r>
      <w:r>
        <w:rPr>
          <w:rFonts w:ascii="Times New Roman" w:cs="Times New Roman" w:eastAsia="Times New Roman" w:hAnsi="Times New Roman"/>
          <w:sz w:val="18"/>
          <w:szCs w:val="18"/>
          <w:color w:val="auto"/>
        </w:rPr>
        <w:t>,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w:t>
      </w:r>
      <w:r>
        <w:rPr>
          <w:rFonts w:ascii="Times New Roman" w:cs="Times New Roman" w:eastAsia="Times New Roman" w:hAnsi="Times New Roman"/>
          <w:sz w:val="18"/>
          <w:szCs w:val="18"/>
          <w:color w:val="auto"/>
        </w:rPr>
        <w:t>, ASU 2016-11,</w:t>
      </w:r>
      <w:r>
        <w:rPr>
          <w:rFonts w:ascii="Times New Roman" w:cs="Times New Roman" w:eastAsia="Times New Roman" w:hAnsi="Times New Roman"/>
          <w:sz w:val="18"/>
          <w:szCs w:val="18"/>
          <w:i w:val="1"/>
          <w:iCs w:val="1"/>
          <w:color w:val="auto"/>
        </w:rPr>
        <w:t xml:space="preserve"> Revenue Recognition (Topic 605) and Derivatives and Hedging (Topic 815) </w:t>
      </w:r>
      <w:r>
        <w:rPr>
          <w:rFonts w:ascii="Times New Roman" w:cs="Times New Roman" w:eastAsia="Times New Roman" w:hAnsi="Times New Roman"/>
          <w:sz w:val="18"/>
          <w:szCs w:val="18"/>
          <w:color w:val="auto"/>
        </w:rPr>
        <w:t>and ASU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These updates are intended to improve the operability and understandability of the implementation guidance for the updated revenue standard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relates to the subjects noted. The amendments in these updates have the same effective date as ASC 606 as noted above, and the Company does not anticipate that these updates will have a significant impact on its revenue recognition policy or its consolidated financial statements.</w:t>
      </w:r>
    </w:p>
    <w:p>
      <w:pPr>
        <w:spacing w:after="0" w:line="106"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In April 2015, FASB issued ASU 2015-03</w:t>
      </w:r>
      <w:r>
        <w:rPr>
          <w:rFonts w:ascii="Times New Roman" w:cs="Times New Roman" w:eastAsia="Times New Roman" w:hAnsi="Times New Roman"/>
          <w:sz w:val="18"/>
          <w:szCs w:val="18"/>
          <w:i w:val="1"/>
          <w:iCs w:val="1"/>
          <w:color w:val="auto"/>
        </w:rPr>
        <w:t>, Interest - Imputation of Interest (Subtopic 835-30): Simplifying the Presentation of Debt Issuance Costs.</w:t>
      </w:r>
      <w:r>
        <w:rPr>
          <w:rFonts w:ascii="Times New Roman" w:cs="Times New Roman" w:eastAsia="Times New Roman" w:hAnsi="Times New Roman"/>
          <w:sz w:val="18"/>
          <w:szCs w:val="18"/>
          <w:color w:val="auto"/>
        </w:rPr>
        <w:t xml:space="preserve"> This guidance requires that debt issuance costs related to a recognized debt liability be presented in the balance sheet as a direct deduction from the carrying amount of that debt liability, consistent with debt discounts. The Company adopted this updated standard in the current year during the interim period ended September 30, 2015 by reclassifying the debt issuance costs from long-term assets to a direct deduction from the related debt, consistent with the debt discount. All prior period balances have been retrospectively adjusted.</w:t>
      </w:r>
    </w:p>
    <w:p>
      <w:pPr>
        <w:spacing w:after="0" w:line="9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Current GAAP requires an entity to separate deferred income tax liabilities and assets into current and noncurrent amounts in a classified statement of financial position. To simplify the presentation of deferred income taxes, the amendments in this update require that all deferred tax assets or liabilities be classified as noncurrent in the classified statement of financial position. The amendments in this update are effective for the annual periods beginning after December 15, 2016 and interim periods within those annual periods. The Company does not anticipate that the adoption of this guidance will have a material impact on its consolidated financial statements.</w:t>
      </w:r>
    </w:p>
    <w:p>
      <w:pPr>
        <w:spacing w:after="0" w:line="102" w:lineRule="exact"/>
        <w:rPr>
          <w:sz w:val="20"/>
          <w:szCs w:val="20"/>
          <w:color w:val="auto"/>
        </w:rPr>
      </w:pPr>
    </w:p>
    <w:p>
      <w:pPr>
        <w:ind w:right="30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 (Topic 841)</w:t>
      </w:r>
      <w:r>
        <w:rPr>
          <w:rFonts w:ascii="Times New Roman" w:cs="Times New Roman" w:eastAsia="Times New Roman" w:hAnsi="Times New Roman"/>
          <w:sz w:val="18"/>
          <w:szCs w:val="18"/>
          <w:color w:val="auto"/>
        </w:rPr>
        <w:t>. For lessees, the amendments in this update require that for all leases not considered to be short term, a company recognize both a lease liability and right-of-use asset on its balance sheet, representing the obligation to make payments and the right to use or control the use of a specified asset for the lease term. The amendments in this update are effective for annual periods beginning after December 15, 2018 and interim periods within those annual periods. The Company is currently evaluating the impact that this amendment will have on its consolidated financial statements.</w:t>
      </w:r>
    </w:p>
    <w:p>
      <w:pPr>
        <w:spacing w:after="0" w:line="99"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March 2016, FASB issued ASU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The amendments in this update change the accounting for certain stock-based compensation transactions, including the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flow classification for applicable transactions. The amendments in this update are effective for annual periods beginning after December 31, 2016 and interim periods within those annual periods. The Company is currently evaluating the impact that this amendment will have on its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consist of (in thousands):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ectPr>
          <w:pgSz w:w="11900" w:h="16838" w:orient="portrait"/>
          <w:cols w:equalWidth="0" w:num="1">
            <w:col w:w="11420"/>
          </w:cols>
          <w:pgMar w:left="240" w:top="80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(includes computer hardware and software)</w:t>
            </w:r>
          </w:p>
        </w:tc>
        <w:tc>
          <w:tcPr>
            <w:tcW w:w="1500" w:type="dxa"/>
            <w:vAlign w:val="bottom"/>
            <w:tcBorders>
              <w:bottom w:val="single" w:sz="8" w:color="CCEEFF"/>
            </w:tcBorders>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6,895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3,324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15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tcBorders>
              <w:top w:val="single" w:sz="8" w:color="auto"/>
            </w:tcBorders>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3,456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5,759</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totaled $1.8 million, $2.3 million, and $2.0 million for the years ended June 30, 2016, 2015, and 2014,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Intangible Assets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 of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costs</w:t>
            </w:r>
          </w:p>
        </w:tc>
        <w:tc>
          <w:tcPr>
            <w:tcW w:w="1500" w:type="dxa"/>
            <w:vAlign w:val="bottom"/>
            <w:tcBorders>
              <w:bottom w:val="single" w:sz="8" w:color="CCEEFF"/>
            </w:tcBorders>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definite-lived intangible assets, net</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1,284</w:t>
            </w:r>
          </w:p>
        </w:tc>
      </w:tr>
      <w:tr>
        <w:trPr>
          <w:trHeight w:val="32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other indefinite-lived intangible assets</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500" w:type="dxa"/>
            <w:vAlign w:val="bottom"/>
            <w:tcBorders>
              <w:top w:val="single" w:sz="8" w:color="auto"/>
            </w:tcBorders>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1,879</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totaled $0.1 million, $0.1 million, and $0.1 million for the years ended June 30, 2016, 2015, and 2014, respectively. Annual estimated amortization expense is expected to approximate $0.1 million for each of the five succeeding fiscal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Accrued Expenses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accrued expenses consist of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severance</w:t>
            </w: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incentives and promotions to distributors</w:t>
            </w:r>
          </w:p>
        </w:tc>
        <w:tc>
          <w:tcPr>
            <w:tcW w:w="15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and other employee expenses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5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payable to vendors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taxes payable</w:t>
            </w:r>
          </w:p>
        </w:tc>
        <w:tc>
          <w:tcPr>
            <w:tcW w:w="15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809</w:t>
            </w:r>
          </w:p>
        </w:tc>
      </w:tr>
      <w:tr>
        <w:trPr>
          <w:trHeight w:val="27"/>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other expenses</w:t>
            </w:r>
          </w:p>
        </w:tc>
        <w:tc>
          <w:tcPr>
            <w:tcW w:w="15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1,131</w:t>
            </w:r>
          </w:p>
        </w:tc>
      </w:tr>
      <w:tr>
        <w:trPr>
          <w:trHeight w:val="27"/>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8,734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5,600</w:t>
            </w:r>
          </w:p>
        </w:tc>
      </w:tr>
      <w:tr>
        <w:trPr>
          <w:trHeight w:val="20"/>
        </w:trPr>
        <w:tc>
          <w:tcPr>
            <w:tcW w:w="6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14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October 18, 2013 the Company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The Company did not borrow any amounts under the October 2013 Delayed Draw Term Loan.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ectPr>
          <w:pgSz w:w="11900" w:h="16838" w:orient="portrait"/>
          <w:cols w:equalWidth="0" w:num="1">
            <w:col w:w="11420"/>
          </w:cols>
          <w:pgMar w:left="240" w:top="736" w:right="23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color w:val="auto"/>
        </w:rPr>
        <w:t>On May 1, 2015 the Company entered into an Amendment No 1 to Financing Agreement ("Amendment No. 1"). Amendment No. 1 revised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and June 30, 2015 consolidated EBITDA covenants from $20.6 million and $21.3 million, respectively, to $17.0 million for each quarter 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also revised the minimum unrestricted cash and cash equivalents that the Company was required to hold from $10.0 million to $8.0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reporting periods ended March 31, 2015 and June 30, 2015. In addition, Amendment No. 1 required that the Company make certain accelerated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on the October 2013 Term Loan totaling $4.5 million during the fourth quarter of fiscal year 2015.</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27, 2015 the Company entered into an Amendment No. 2 to Financing Agreement ("Amendment No. 2" and collectively, with the October</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2013 Term Loan, as previously amended by Amendment No. 1, the "October 2013 Credit Facility"). Amendment No. 2 revised the covenants related to minimum consolidated EBITDA (as defined in the amended Financing Agreement) for the four consecutive fiscal quarters ending September 30, 2015, December 31, 2015, March 31, 2016 and June 30, 2016 from $22.2 million, $23.1 million, $24.4 million and $25.6 million, respectively, to $14.5 million, $15.0 million, $17.0 million and $17.5 million, respectively. In addition, Amendment No. 2 required that the Company make additional monthly accelerated principal payments on the October 2013 Term Loan in the amount of $0.5 million commencing on October 15, 2015 and continuing until the October 2013 Term Loan was paid in full. Amendment No. 2 also required that the Company make additional accelerated payments at the end of each fiscal quarter in the amount of all unrestricted cash on hand as of the close of business on the last day of the quarter in excess of $12.5 million.</w:t>
      </w:r>
    </w:p>
    <w:p>
      <w:pPr>
        <w:spacing w:after="0" w:line="108"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principal amount of the October 2013 Term Loan was payable in consecutive quarterly installments beginning with the calendar quarter ended March 31, 2014 and matured on the earlier of October 18, 2018 or such date as the outstanding loans become payable in accordance with the terms of the Financing Agreement (the “Final Maturity Date”). The October 2013 Term Loan bore interest at a rate equal to 7.5% per annum plus the greater of (i) 1.25% or (ii) LIBOR, or at the Company’s option, a reference rate (as defined in the Financing Agreement) plus 6.5% per annum, with such interest payable monthly. For the year ended June 30, 2016 the average interest rate was 8.75%. On March 30, 2016, the Company repaid the full amount outstanding under the October 2013 Term Loan and terminated the October 2013 Credit Facility.</w:t>
      </w:r>
    </w:p>
    <w:p>
      <w:pPr>
        <w:spacing w:after="0" w:line="107" w:lineRule="exact"/>
        <w:rPr>
          <w:sz w:val="20"/>
          <w:szCs w:val="20"/>
          <w:color w:val="auto"/>
        </w:rPr>
      </w:pPr>
    </w:p>
    <w:p>
      <w:pPr>
        <w:ind w:right="120" w:firstLine="432"/>
        <w:spacing w:after="0" w:line="277" w:lineRule="auto"/>
        <w:rPr>
          <w:sz w:val="20"/>
          <w:szCs w:val="20"/>
          <w:color w:val="auto"/>
        </w:rPr>
      </w:pPr>
      <w:r>
        <w:rPr>
          <w:rFonts w:ascii="Times New Roman" w:cs="Times New Roman" w:eastAsia="Times New Roman" w:hAnsi="Times New Roman"/>
          <w:sz w:val="17"/>
          <w:szCs w:val="17"/>
          <w:color w:val="auto"/>
        </w:rPr>
        <w:t>On March 30, 2016, the Company entered into a Loan Agreement (the "March 2016 Loan Agreement") to refinance its outstanding debt under the October 2013 Term Loan. In connection with the March 2016 Loan Agreement and on the same date, the Company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87"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w:t>
      </w:r>
    </w:p>
    <w:p>
      <w:pPr>
        <w:spacing w:after="0" w:line="99"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March 2016 Credit Facility are secured by a security interest in substantially all of the Company’s assets. Loans outstanding under the March 2016 Credit Facility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9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March 2016 Credit Facility also contains various financial covenants that require the Company to maintain a certain consolidated minimum tangible net worth, minimum working capital amounts, and certain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At June 30, 2016, the Company was in compliance with the applicable covenants under the March 2016 Credit Facility; provided, however, that on October 24, 2016, the Company was granted a waiver and extension to the covenants requiring the Company to provide the lender with audited financial statements for the Company's 2016 fiscal year on or before October 28, 2016. Under the limited waiver and extension, the lender has agreed to waive compliance with this requirement if the Company delivers such audited</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- 17</w:t>
      </w:r>
    </w:p>
    <w:p>
      <w:pPr>
        <w:sectPr>
          <w:pgSz w:w="11900" w:h="16838" w:orient="portrait"/>
          <w:cols w:equalWidth="0" w:num="1">
            <w:col w:w="11420"/>
          </w:cols>
          <w:pgMar w:left="240" w:top="580" w:right="239" w:bottom="1440" w:gutter="0" w:footer="0" w:header="0"/>
        </w:sectPr>
      </w:pPr>
    </w:p>
    <w:bookmarkStart w:id="96" w:name="page97"/>
    <w:bookmarkEnd w:id="96"/>
    <w:p>
      <w:pPr>
        <w:ind w:right="460"/>
        <w:spacing w:after="0" w:line="282" w:lineRule="auto"/>
        <w:rPr>
          <w:sz w:val="20"/>
          <w:szCs w:val="20"/>
          <w:color w:val="auto"/>
        </w:rPr>
      </w:pPr>
      <w:r>
        <w:rPr>
          <w:rFonts w:ascii="Times New Roman" w:cs="Times New Roman" w:eastAsia="Times New Roman" w:hAnsi="Times New Roman"/>
          <w:sz w:val="18"/>
          <w:szCs w:val="18"/>
          <w:color w:val="auto"/>
        </w:rPr>
        <w:t>financial statements prior to December 31, 2016. See Note 14 to our audited consolidated financial statements for a discussion of the limited waiver and extension.</w:t>
      </w:r>
    </w:p>
    <w:p>
      <w:pPr>
        <w:spacing w:after="0" w:line="81"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The Company incurred transaction costs associated with the October 2013 Credit Facility totaling $2.7 million. During the years ended June 30, 2016 and 2015, the Company recorded interest expense of $0.4 million and $0.5 million, respectively, related to the normal amortization of transaction costs associated with the October 2013 Credit Facility. In connection with refinancing the outstanding debt under the October 2013 Credit Facility on March 30, 2016, the Company charged to interest expense the remaining $1.5 million in unamortized transaction costs associated with that credit facility. At June 30, 2016, the Company had unamortized transaction costs totaling $0.1 million included in the consolidated balance sheet related to the March 2016 Credit Facility. This balance will be amortized to interest expense using the interest method over the term of the loan.</w:t>
      </w:r>
    </w:p>
    <w:p>
      <w:pPr>
        <w:spacing w:after="0" w:line="10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June 30,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10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10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5,500</w:t>
            </w:r>
          </w:p>
        </w:tc>
      </w:tr>
      <w:tr>
        <w:trPr>
          <w:trHeight w:val="237"/>
        </w:trPr>
        <w:tc>
          <w:tcPr>
            <w:tcW w:w="10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9,500</w:t>
            </w:r>
          </w:p>
        </w:tc>
      </w:tr>
      <w:tr>
        <w:trPr>
          <w:trHeight w:val="27"/>
        </w:trPr>
        <w:tc>
          <w:tcPr>
            <w:tcW w:w="10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0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48"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2016, 2015, and 2014, the Company issued 0.1 million, 0.4 million, and 0.7 million shares, respectively, of common stock as a result of the exercise of options and warrants and during the years ended June 30, 2016, 2015, and 2014, the Company issued 0.1 million, 0.2 million, and 32,000 shares, respectively, of restricted common stock. During the year ended June 30, 2016, 0.1 million shares of restricted stock were canceled or surrendered as payment of tax withholding upon vesting.</w:t>
      </w:r>
    </w:p>
    <w:p>
      <w:pPr>
        <w:spacing w:after="0" w:line="9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November 6, 2014, the Company announced a share repurchase program authorizing it to repurchase up to $7 million in shares of the Company's common stock. As part of that repurchase program, the Company entered into a pre-arranged stock repurchase plan that operated in accordance with guidelines specified under Rule 10b5-1 of the Securities Exchange Act of 1934, as amended (the "1934 Act"). The pre-arranged stock repurchase program terminated in accordance with its terms on February 13, 2015. Pursuant to the program, the Company purchased 0.6 million shares of its common stock at an aggregate purchase price of $5.9 million. The remaining $1.1 million authorized under the program for repurchases was unused.</w:t>
      </w:r>
    </w:p>
    <w:p>
      <w:pPr>
        <w:spacing w:after="0" w:line="10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June 3, 2014, the Company announced a share repurchase program authorizing it to repurchase up to $4 million in shares of the Company's common stock. As part of that repurchase program, the Company entered into a pre-arranged stock repurchase plan that operated in accordance with guidelines specified under Rule 10b5-1 of the 1934 Act. The pre-arranged stock repurchase program terminated in accordance with its terms on December 31, 2014. Pursuant to the program, the Company purchased 0.4 million shares of its common stock at an aggregate purchase price of $4 million under this repurchase program.</w:t>
      </w:r>
    </w:p>
    <w:p>
      <w:pPr>
        <w:spacing w:after="0" w:line="10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March 11, 2014 the Company announced a share repurchase program authorizing it to repurchase up to $3 million of shares of the Company's common stock. As part of that repurchase program, the Company entered into a pre-arranged stock repurchase plan that operated in accordance with guidelines specified under Rule 10b5-1 of the 1934 Act. The pre-arranged stock repurchase program terminated in accordance with its terms on June 8, 2014. Pursuant to the program, the Company purchased 0.3 million shares of its common stock at an aggregate purchase price of $3 million under this repurchase program.</w:t>
      </w:r>
    </w:p>
    <w:p>
      <w:pPr>
        <w:spacing w:after="0" w:line="10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November 1, 2013, the Company accepted for payment an aggregate of 2.3 million shares of its common stock at an aggregate purchase price of $40 million as a result of its modified Dutch auction tender offer (the "Tender Offer") that expired October 25, 2013. The Company incurred transaction costs of $0.3 million related to the Tender Offer. The Company entered into the October 2013 Credit Facility to finance this repurchase. (see Note 6).</w:t>
      </w:r>
    </w:p>
    <w:p>
      <w:pPr>
        <w:spacing w:after="0" w:line="9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March 22, 2013 the Company announced a share repurchase program authorizing it to repurchase up to $5 million of shares of the Company's common stock. As part of that repurchase program, the Company entered into a pre-arranged stock repurchase plan that operated in accordance with guidelines specified under Rule 10b5-1 of the 1934 Act. The pre-arranged stock repurchase program terminated in accordance with its terms on December 1, 2013. Pursuant to the program, the Company purchased 0.3 million shares of its common stock at an aggregate purchase price of $5 million under this repurchase program.</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ectPr>
          <w:pgSz w:w="11900" w:h="16838" w:orient="portrait"/>
          <w:cols w:equalWidth="0" w:num="1">
            <w:col w:w="11420"/>
          </w:cols>
          <w:pgMar w:left="240" w:top="580" w:right="239" w:bottom="1440" w:gutter="0" w:footer="0" w:header="0"/>
        </w:sectPr>
      </w:pPr>
    </w:p>
    <w:bookmarkStart w:id="97" w:name="page98"/>
    <w:bookmarkEnd w:id="97"/>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authorize the issuance of preferred shares. However, as of June 30, 2016, none have been issued nor have any rights or preferences been assigned to the preferred shares by the Company’s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4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As of June 30, 2016 there were awards outstanding, net of awards expired, for the purchase in aggregate of 0.3 million shares of the Company’s common stock.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adopted and the shareholders approved the 2010 Long-Term Incentive Plan (the “2010 Plan”), effective September 27, 2010, as amended on August 21, 2014, to provide incentives to certain employees, directors and consultants. A maximum of 1.5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$4.41 and $24.71 per share, and vest over one to four year vesting periods. Awards expire in accordance with the terms of each award and the shares subject to the award are added back to the 2010 Plan upon expiration of the award. The contractual term of stock options granted is generally ten years. As of June 30, 2016 there were awards outstanding, net of awards expired, for an aggregate of 0.1 million shares of the Company’s common stock.</w:t>
      </w:r>
    </w:p>
    <w:p>
      <w:pPr>
        <w:spacing w:after="0" w:line="108"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Company adopted a Performance Incentive Plan effective July 1, 2013 (the "Fiscal 2014 Performance Plan"). The Fiscal 2014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2014 Performance Plan seeks to achieve this purpose by providing for awards in the form of performance share units (the “Units”). No shares will be issued under the Fiscal 2014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three annual installments which are achieved at the end of a given fiscal year only if the participant has continuously remained in service from the date of award through the end of that fiscal year. The fair value of these awards is based on the trading price of the Company's common stock and is remeasured at each reporting period date until settlement. The Company adopted separate Performance Incentive Plans effective July 1, 2014 (the "Fiscal 2015 Performance Plan") and July 1, 2015 (the "Fiscal 2016 Performance Plan"). The Fiscal 2015 and 2016 Performance Plans are substantially similar to the Fiscal 2014 Performance Plan except that the service-based vesting criteria occurs in a single installment and is achieved at the end of the third fiscal year after the awards are granted if the participant has continuously remained in service from the date of the award through the end of the third fiscal year.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accordance with accounting guidance for stock-based compensation, payments in equity instruments for goods or services are accounted for by the fair value method. For the fiscal years ended June 30, 2016, 2015, and 2014, stock-based compensation of $2.0 million, $1.7 million and $2.6 million, respectively, was reflected as an increase to additional paid in capital and $0.7 million, $0.1 million and $0.3 million was reflected as an increase to other accrued expenses for the fiscal years ended June 30, 2016, 2015 and 2014, respectively. For the fiscal years ended June 30, 2016, 2015, and 2014, all stock-based compensation was employee related.</w:t>
      </w:r>
    </w:p>
    <w:p>
      <w:pPr>
        <w:spacing w:after="0" w:line="103"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At June 30, 2016 there was $5.6 million of unrecognized compensation cost related to nonvested share-based compensation arrangements under the 2010 Plan, based on management's estimate of the shares that will ultimately vest. The Company expects to recognize such costs over a weighted-average period of 2.3 years.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4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There were no stock option grants during the fiscal years ended June 30, 2016, 2015 and 2014. The following is a summary of stock option activity for the years ended June 30, 2016, 2015, and 2014:</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ectPr>
          <w:pgSz w:w="11900" w:h="16838" w:orient="portrait"/>
          <w:cols w:equalWidth="0" w:num="1">
            <w:col w:w="11420"/>
          </w:cols>
          <w:pgMar w:left="240" w:top="580"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00" w:type="dxa"/>
            <w:vAlign w:val="bottom"/>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Options (in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700" w:type="dxa"/>
            <w:vAlign w:val="bottom"/>
            <w:gridSpan w:val="3"/>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Average Remaining</w:t>
            </w:r>
          </w:p>
        </w:tc>
        <w:tc>
          <w:tcPr>
            <w:tcW w:w="240" w:type="dxa"/>
            <w:vAlign w:val="bottom"/>
          </w:tcPr>
          <w:p>
            <w:pPr>
              <w:spacing w:after="0"/>
              <w:rPr>
                <w:sz w:val="12"/>
                <w:szCs w:val="12"/>
                <w:color w:val="auto"/>
              </w:rPr>
            </w:pPr>
          </w:p>
        </w:tc>
        <w:tc>
          <w:tcPr>
            <w:tcW w:w="13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gridSpan w:val="3"/>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2013</w:t>
            </w:r>
          </w:p>
        </w:tc>
        <w:tc>
          <w:tcPr>
            <w:tcW w:w="38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 or Canceled</w:t>
            </w:r>
          </w:p>
        </w:tc>
        <w:tc>
          <w:tcPr>
            <w:tcW w:w="26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38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 or Canceled</w:t>
            </w:r>
          </w:p>
        </w:tc>
        <w:tc>
          <w:tcPr>
            <w:tcW w:w="26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2015</w:t>
            </w:r>
          </w:p>
        </w:tc>
        <w:tc>
          <w:tcPr>
            <w:tcW w:w="38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 or Canceled</w:t>
            </w:r>
          </w:p>
        </w:tc>
        <w:tc>
          <w:tcPr>
            <w:tcW w:w="26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26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5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June 30, 2016</w:t>
            </w:r>
          </w:p>
        </w:tc>
        <w:tc>
          <w:tcPr>
            <w:tcW w:w="266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2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60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14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The following is a summary of restricted shares granted during the years ended June 30, 2016, 2015, and 2014:</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600" w:type="dxa"/>
            <w:vAlign w:val="bottom"/>
          </w:tcPr>
          <w:p>
            <w:pPr>
              <w:spacing w:after="0"/>
              <w:rPr>
                <w:sz w:val="24"/>
                <w:szCs w:val="24"/>
                <w:color w:val="auto"/>
              </w:rPr>
            </w:pPr>
          </w:p>
        </w:tc>
        <w:tc>
          <w:tcPr>
            <w:tcW w:w="3820" w:type="dxa"/>
            <w:vAlign w:val="bottom"/>
            <w:gridSpan w:val="2"/>
            <w:vMerge w:val="restart"/>
          </w:tcPr>
          <w:p>
            <w:pPr>
              <w:jc w:val="right"/>
              <w:ind w:right="2174"/>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2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2013</w:t>
            </w:r>
          </w:p>
        </w:tc>
        <w:tc>
          <w:tcPr>
            <w:tcW w:w="26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June 30, 2014</w:t>
            </w:r>
          </w:p>
        </w:tc>
        <w:tc>
          <w:tcPr>
            <w:tcW w:w="2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at June 30, 2014</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June 30, 2015</w:t>
            </w:r>
          </w:p>
        </w:tc>
        <w:tc>
          <w:tcPr>
            <w:tcW w:w="2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at June 30, 2015</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97"/>
        </w:trPr>
        <w:tc>
          <w:tcPr>
            <w:tcW w:w="2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Nonvested at June 30, 2016</w:t>
            </w:r>
          </w:p>
        </w:tc>
        <w:tc>
          <w:tcPr>
            <w:tcW w:w="26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at June 30, 2016</w:t>
            </w:r>
          </w:p>
        </w:tc>
        <w:tc>
          <w:tcPr>
            <w:tcW w:w="26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total vesting date fair value of restricted shares that vested during the years ended June 30, 2016, 2015 and 2014 was $0.4 million, $0.6 million and $1.2 million, respectively.</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4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June 30, 2015, the Company awarded performance stock units (the "FY 2015 Performance Stock Units") to its executive officers and senior management (the "Recipients"). Vesting for the FY 2015 Performance Stock Units</w:t>
      </w:r>
    </w:p>
    <w:p>
      <w:pPr>
        <w:sectPr>
          <w:pgSz w:w="11900" w:h="16838" w:orient="portrait"/>
          <w:cols w:equalWidth="0" w:num="1">
            <w:col w:w="11420"/>
          </w:cols>
          <w:pgMar w:left="240" w:top="723" w:right="239" w:bottom="655"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- 20</w:t>
      </w:r>
    </w:p>
    <w:p>
      <w:pPr>
        <w:sectPr>
          <w:pgSz w:w="11900" w:h="16838" w:orient="portrait"/>
          <w:cols w:equalWidth="0" w:num="1">
            <w:col w:w="11420"/>
          </w:cols>
          <w:pgMar w:left="240" w:top="723" w:right="239" w:bottom="655" w:gutter="0" w:footer="0" w:header="0"/>
          <w:type w:val="continuous"/>
        </w:sectPr>
      </w:pPr>
    </w:p>
    <w:bookmarkStart w:id="99" w:name="page100"/>
    <w:bookmarkEnd w:id="99"/>
    <w:p>
      <w:pPr>
        <w:ind w:right="100"/>
        <w:spacing w:after="0" w:line="254" w:lineRule="auto"/>
        <w:rPr>
          <w:sz w:val="20"/>
          <w:szCs w:val="20"/>
          <w:color w:val="auto"/>
        </w:rPr>
      </w:pPr>
      <w:r>
        <w:rPr>
          <w:rFonts w:ascii="Times New Roman" w:cs="Times New Roman" w:eastAsia="Times New Roman" w:hAnsi="Times New Roman"/>
          <w:sz w:val="18"/>
          <w:szCs w:val="18"/>
          <w:color w:val="auto"/>
        </w:rPr>
        <w:t>occurs over three consecutive annual performance periods and is subject to achievement of both service-based and market-based performance vesting requirements. Subject generally to the Recipient's continued service with the Company (the service based requirement), each Performance Stock Unit represents a contingent right for the Recipient to receive, within thirty days after the end of each of three annual performance periods, a distribution of shares of common stock of the Company equal to 0% to 200% of the target number of Performance Stock Units subject to the award for each performance period. The actual number of shares distributed will be based on the Company's total stockholder return ("TSR") performance during the relevant performance period, subject to acceleration upon a change in control of the Company. The vesting for 50% of the target Performance Stock Units is based upon the Company's absolute TSR for the Performance Period as compared to a matrix of fixed numeric values and the vesting for the other 50% of the target Performance Stock Units is based upon the relative comparison of the Company's TSR to the Vanguard Russell 2000 exchange traded fund TSR. The fair value of the Performance Stock Units will be recognized on a straight-line basis over the requisite service period of the awards, regardless of when, if ever, the market-based performance conditions are satisfied.</w:t>
      </w:r>
    </w:p>
    <w:p>
      <w:pPr>
        <w:spacing w:after="0" w:line="105"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June 30, 2016, the Company awarded additional Performance Stock Units (the "FY 2016 Performance Stock Units") to its executive officers and senior management. The FY 2016 Performance Stock Units are substantially similar to the FY 2015 Performance Stock Units except that the service-based vesting criteria occurs in a single installment and is achieved at the end of the three year performance period if the participant has continuously remained in service from the date of the award through the end of the performance period. There were no Performance Stock Units granted during the year ended June 30, 2014.</w:t>
      </w:r>
    </w:p>
    <w:p>
      <w:pPr>
        <w:spacing w:after="0" w:line="10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Performance Stock Units granted during the years ended June 30, 2016 and 2015 were estimated using a Monte Carlo simulation model which included the following assumptions in order to reflect the performance conditions that must be satisfied for the share units to vest: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2015</w:t>
            </w:r>
          </w:p>
        </w:tc>
      </w:tr>
      <w:tr>
        <w:trPr>
          <w:trHeight w:val="249"/>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 - Company</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43"/>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volatility - peer company</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measurement period (years)</w:t>
            </w:r>
          </w:p>
        </w:tc>
        <w:tc>
          <w:tcPr>
            <w:tcW w:w="150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r>
      <w:tr>
        <w:trPr>
          <w:trHeight w:val="351"/>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is a summary of Performance Stock Units granted during the years ended June 30, 2016 and 2015: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6"/>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Units (in</w:t>
            </w:r>
          </w:p>
        </w:tc>
        <w:tc>
          <w:tcPr>
            <w:tcW w:w="10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95"/>
        </w:trPr>
        <w:tc>
          <w:tcPr>
            <w:tcW w:w="7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49"/>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2014</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8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10.76</w:t>
            </w:r>
          </w:p>
        </w:tc>
      </w:tr>
      <w:tr>
        <w:trPr>
          <w:trHeight w:val="243"/>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10.76</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Nonvested at June 30, 2015</w:t>
            </w: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77"/>
        </w:trPr>
        <w:tc>
          <w:tcPr>
            <w:tcW w:w="7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12.30</w:t>
            </w:r>
          </w:p>
        </w:tc>
      </w:tr>
      <w:tr>
        <w:trPr>
          <w:trHeight w:val="27"/>
        </w:trPr>
        <w:tc>
          <w:tcPr>
            <w:tcW w:w="8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10.76</w:t>
            </w:r>
          </w:p>
        </w:tc>
      </w:tr>
      <w:tr>
        <w:trPr>
          <w:trHeight w:val="243"/>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2016</w:t>
            </w:r>
          </w:p>
        </w:tc>
        <w:tc>
          <w:tcPr>
            <w:tcW w:w="1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13.07</w:t>
            </w:r>
          </w:p>
        </w:tc>
      </w:tr>
      <w:tr>
        <w:trPr>
          <w:trHeight w:val="20"/>
        </w:trPr>
        <w:tc>
          <w:tcPr>
            <w:tcW w:w="8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Vested at June 30, 2016</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8220" w:type="dxa"/>
            <w:vAlign w:val="bottom"/>
            <w:gridSpan w:val="3"/>
          </w:tcPr>
          <w:p>
            <w:pPr>
              <w:ind w:left="5500"/>
              <w:spacing w:after="0"/>
              <w:rPr>
                <w:sz w:val="20"/>
                <w:szCs w:val="20"/>
                <w:color w:val="auto"/>
              </w:rPr>
            </w:pPr>
            <w:r>
              <w:rPr>
                <w:rFonts w:ascii="Times New Roman" w:cs="Times New Roman" w:eastAsia="Times New Roman" w:hAnsi="Times New Roman"/>
                <w:sz w:val="18"/>
                <w:szCs w:val="18"/>
                <w:color w:val="auto"/>
              </w:rPr>
              <w:t>F - 21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0" w:name="page101"/>
    <w:bookmarkEnd w:id="100"/>
    <w:p>
      <w:pPr>
        <w:ind w:left="420"/>
        <w:spacing w:after="0"/>
        <w:rPr>
          <w:sz w:val="20"/>
          <w:szCs w:val="20"/>
          <w:color w:val="auto"/>
        </w:rPr>
      </w:pPr>
      <w:r>
        <w:rPr>
          <w:rFonts w:ascii="Times New Roman" w:cs="Times New Roman" w:eastAsia="Times New Roman" w:hAnsi="Times New Roman"/>
          <w:sz w:val="18"/>
          <w:szCs w:val="18"/>
          <w:b w:val="1"/>
          <w:bCs w:val="1"/>
          <w:color w:val="auto"/>
        </w:rPr>
        <w:t>Cash-Settled Performance Units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cash-settled performance units granted during the years ended June 30, 2016, 2015, and 2014:</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Units (in</w:t>
            </w:r>
          </w:p>
        </w:tc>
        <w:tc>
          <w:tcPr>
            <w:tcW w:w="1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r>
      <w:tr>
        <w:trPr>
          <w:trHeight w:val="195"/>
        </w:trPr>
        <w:tc>
          <w:tcPr>
            <w:tcW w:w="7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2013, nonvested</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84"/>
        </w:trPr>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10.36</w:t>
            </w:r>
          </w:p>
        </w:tc>
      </w:tr>
      <w:tr>
        <w:trPr>
          <w:trHeight w:val="243"/>
        </w:trPr>
        <w:tc>
          <w:tcPr>
            <w:tcW w:w="8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June 30, 2014, nonvested</w:t>
            </w: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77"/>
        </w:trPr>
        <w:tc>
          <w:tcPr>
            <w:tcW w:w="7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8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6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8.12</w:t>
            </w:r>
          </w:p>
        </w:tc>
      </w:tr>
      <w:tr>
        <w:trPr>
          <w:trHeight w:val="27"/>
        </w:trPr>
        <w:tc>
          <w:tcPr>
            <w:tcW w:w="7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4"/>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2015, nonvested</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77"/>
        </w:trPr>
        <w:tc>
          <w:tcPr>
            <w:tcW w:w="75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8.47</w:t>
            </w:r>
          </w:p>
        </w:tc>
      </w:tr>
      <w:tr>
        <w:trPr>
          <w:trHeight w:val="243"/>
        </w:trPr>
        <w:tc>
          <w:tcPr>
            <w:tcW w:w="8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8.30</w:t>
            </w:r>
          </w:p>
        </w:tc>
      </w:tr>
      <w:tr>
        <w:trPr>
          <w:trHeight w:val="25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June 30, 2016, nonvested</w:t>
            </w:r>
          </w:p>
        </w:tc>
        <w:tc>
          <w:tcPr>
            <w:tcW w:w="1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1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fair value of vested awards under the Performance Plan as of June 30, 2016 was $0.2 million. Payments of $0.1 million and $0.3 million were made to settle vested cash-settled performance units during the years ended June 30, 2016 and 2015, respectively. No payments were made to settle vested cash-settled performance units during the year ended June 30, 2014.</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As of June 30, 2016, the Company had outstanding warrants which were issued in conjunction with convertible debentures between November 2009 and February 2010.</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ectPr>
          <w:pgSz w:w="11900" w:h="16838" w:orient="portrait"/>
          <w:cols w:equalWidth="0" w:num="1">
            <w:col w:w="11420"/>
          </w:cols>
          <w:pgMar w:left="240" w:top="576" w:right="23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warrant activity for the years ended June 30, 2016, 2015, and 2014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jc w:val="center"/>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June 30, 2013</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Canceled</w:t>
            </w: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June 30, 2014</w:t>
            </w:r>
          </w:p>
        </w:tc>
        <w:tc>
          <w:tcPr>
            <w:tcW w:w="6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91"/>
        </w:trPr>
        <w:tc>
          <w:tcPr>
            <w:tcW w:w="4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Canceled</w:t>
            </w: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June 30, 2015</w:t>
            </w:r>
          </w:p>
        </w:tc>
        <w:tc>
          <w:tcPr>
            <w:tcW w:w="6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91"/>
        </w:trPr>
        <w:tc>
          <w:tcPr>
            <w:tcW w:w="4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Canceled</w:t>
            </w: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June 30, 2016</w:t>
            </w:r>
          </w:p>
        </w:tc>
        <w:tc>
          <w:tcPr>
            <w:tcW w:w="6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As of June 30, 2016, 2015, and 2014, the Company had no warrants classified as 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16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Income (Expense), net</w:t>
            </w: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 (in thousands):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49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development incentive, net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gain (loss), net</w:t>
            </w:r>
          </w:p>
        </w:tc>
        <w:tc>
          <w:tcPr>
            <w:tcW w:w="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settlement of forward contract</w:t>
            </w: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January 2013, the Company began operations of a foreign subsidiary that qualified for a government-sponsored business development incentive. Under the incentive program, the Company's foreign subsidiary was allowed to retain certain non-income based taxes during the twelve month period ending December 31, 2013, rather than remit such taxes to the tax authorities. The income associated with the retention of these taxes is included in "Business development incentive, net" in the table above for the fiscal year ended June 30, 2014. No such incentives were realized during the fiscal years ended June 30, 2016 and 2015.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ectPr>
          <w:pgSz w:w="11900" w:h="16838" w:orient="portrait"/>
          <w:cols w:equalWidth="0" w:num="1">
            <w:col w:w="11420"/>
          </w:cols>
          <w:pgMar w:left="240" w:top="580"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4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June 30, 2016, the Company had a U.S. Federal net operating loss (“NOL”) carry-forward of approximately $0.3 million. The net operating losses expire by June 30, 2025 and are subject to review by the Internal Revenue Service ("IRS"), and are subject to U.S. Internal Revenue Code Section 382 limitations. As of June 30, 2016, state NOLs were $8.3 million and foreign NOLs were $0.9 million. The income tax expense for the years ended June 30, 2016, 2015, and 2014 consists of the following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 (Loss) Before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Domestic</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8,249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13,894</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2,761</w:t>
            </w:r>
          </w:p>
        </w:tc>
      </w:tr>
      <w:tr>
        <w:trPr>
          <w:trHeight w:val="237"/>
        </w:trPr>
        <w:tc>
          <w:tcPr>
            <w:tcW w:w="5720" w:type="dxa"/>
            <w:vAlign w:val="bottom"/>
          </w:tcPr>
          <w:p>
            <w:pPr>
              <w:spacing w:after="0"/>
              <w:rPr>
                <w:sz w:val="20"/>
                <w:szCs w:val="20"/>
                <w:color w:val="auto"/>
              </w:rPr>
            </w:pPr>
          </w:p>
        </w:tc>
        <w:tc>
          <w:tcPr>
            <w:tcW w:w="116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10,653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16,655</w:t>
            </w:r>
          </w:p>
        </w:tc>
      </w:tr>
      <w:tr>
        <w:trPr>
          <w:trHeight w:val="67"/>
        </w:trPr>
        <w:tc>
          <w:tcPr>
            <w:tcW w:w="57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Current Taxes:</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2,010</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3,100</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2,299</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5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116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Tax Provision</w:t>
            </w: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years ended June 30, 2016, 2015, and 2014 differs from the U.S. Federal statutory income tax rate due to the following:</w:t>
      </w:r>
    </w:p>
    <w:p>
      <w:pPr>
        <w:spacing w:after="0" w:line="304"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24765</wp:posOffset>
            </wp:positionV>
            <wp:extent cx="373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gridSpan w:val="2"/>
          </w:tcPr>
          <w:p>
            <w:pPr>
              <w:ind w:left="6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1"/>
                <w:szCs w:val="21"/>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return to provision true-up</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stock 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domestic production activities deduction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credit for increasing research activities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tax provision</w:t>
            </w:r>
          </w:p>
        </w:tc>
        <w:tc>
          <w:tcPr>
            <w:tcW w:w="1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7"/>
        </w:trPr>
        <w:tc>
          <w:tcPr>
            <w:tcW w:w="5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575"/>
        </w:trPr>
        <w:tc>
          <w:tcPr>
            <w:tcW w:w="674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F - 24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3" w:name="page104"/>
    <w:bookmarkEnd w:id="103"/>
    <w:p>
      <w:pPr>
        <w:ind w:left="42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as of June 30, 2016 and 2015 are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state, and foreign net operating loss carryovers</w:t>
            </w:r>
          </w:p>
        </w:tc>
        <w:tc>
          <w:tcPr>
            <w:tcW w:w="1340" w:type="dxa"/>
            <w:vAlign w:val="bottom"/>
          </w:tcPr>
          <w:p>
            <w:pPr>
              <w:jc w:val="right"/>
              <w:ind w:right="11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vacation, allowance for returns, bonuses &amp; other</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Gross deferred tax asset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540"/>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Patents and trademarks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tax accounting methods</w:t>
            </w:r>
          </w:p>
        </w:tc>
        <w:tc>
          <w:tcPr>
            <w:tcW w:w="13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&amp; equipment</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June 30, 2016, the Company put into effect a permanent reinvestment assertion on the earnings of its foreign subsidiaries as the Company intends to reinvest all foreign earnings in its foreign operations, with the exception of certain foreign earnings that are subject to U.S. taxation. As of June 30, 2016, the U.S. consolidated group had approximately $1.1 million of permanently reinvested unremitted earnings from the Company's subsidiaries.</w:t>
      </w:r>
    </w:p>
    <w:p>
      <w:pPr>
        <w:spacing w:after="0" w:line="9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 has adopted accounting guidance for uncertain tax positions which provides that in order to recognize an uncertain tax benefit, the taxpayer must be more likely than not of sustaining the position, and the measurement of the benefit is calculated as the largest amount that is more than 50% likely to be realized upon recognition of the benefit. We believe the Company has no material uncertain tax positions and do not expect significant changes within the next twelve months in the amount of unrecognized tax benefits. Accordingly, we have not reserved for interest or penalties. The tax years open for examination by the IRS include returns for fiscal years ended June 30, 2013 through present and the open tax years by state tax authorities include returns for fiscal years ended June 30, 2011 through present. In addition, the IRS and state tax authorities may examine NOLs for any previous years if utilized by the Company.</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Company conducts its business globally. As a result, the Company and its subsidiaries file income tax returns in the U.S. federal jurisdiction and various state and foreign jurisdictions, and are subject to examination for the open tax years ended June 30, 2011 through June 30, 2015.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4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leases its facilities under non-cancelable operating leases, which expire at various dates through 2024. The facilities leases contain renewal options and are subject to cost increases. Future minimum annual payments under non-cancelable operating leases at June 30, 2016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June 30,</w:t>
            </w:r>
          </w:p>
        </w:tc>
        <w:tc>
          <w:tcPr>
            <w:tcW w:w="4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2,592</w:t>
            </w:r>
          </w:p>
        </w:tc>
      </w:tr>
      <w:tr>
        <w:trPr>
          <w:trHeight w:val="27"/>
        </w:trPr>
        <w:tc>
          <w:tcPr>
            <w:tcW w:w="9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1,246</w:t>
            </w:r>
          </w:p>
        </w:tc>
      </w:tr>
      <w:tr>
        <w:trPr>
          <w:trHeight w:val="27"/>
        </w:trPr>
        <w:tc>
          <w:tcPr>
            <w:tcW w:w="9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1,334</w:t>
            </w:r>
          </w:p>
        </w:tc>
      </w:tr>
      <w:tr>
        <w:trPr>
          <w:trHeight w:val="27"/>
        </w:trPr>
        <w:tc>
          <w:tcPr>
            <w:tcW w:w="9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3,772</w:t>
            </w:r>
          </w:p>
        </w:tc>
      </w:tr>
      <w:tr>
        <w:trPr>
          <w:trHeight w:val="237"/>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11,574</w:t>
            </w:r>
          </w:p>
        </w:tc>
      </w:tr>
      <w:tr>
        <w:trPr>
          <w:trHeight w:val="27"/>
        </w:trPr>
        <w:tc>
          <w:tcPr>
            <w:tcW w:w="9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 expense totaled $2.3 million, $2.4 million, and $1.9 million for the years ended June 30, 2016, 2015, and 2014,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ectPr>
          <w:pgSz w:w="11900" w:h="16838" w:orient="portrait"/>
          <w:cols w:equalWidth="0" w:num="1">
            <w:col w:w="11420"/>
          </w:cols>
          <w:pgMar w:left="240" w:top="580"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contingent liabilities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2016, and based on the assessment there are no probable loss contingencies requiring accrual or disclosures within its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46"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our business. Management assesses contingencies to determine the degree of probability and range of possible loss for potential accrual in our consolidated financial statements. An estimated loss contingency is accrued in our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our consolidated financial statements; and the unique facts and circumstances of the particular matter that may give rise to additional factors.</w:t>
      </w:r>
    </w:p>
    <w:p>
      <w:pPr>
        <w:spacing w:after="0" w:line="11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Former Distributor Lawsuit: </w:t>
      </w:r>
      <w:r>
        <w:rPr>
          <w:rFonts w:ascii="Times New Roman" w:cs="Times New Roman" w:eastAsia="Times New Roman" w:hAnsi="Times New Roman"/>
          <w:sz w:val="18"/>
          <w:szCs w:val="18"/>
          <w:color w:val="auto"/>
        </w:rPr>
        <w:t>On November 20, 2013, the Company filed a complaint in the United States District Court, District of Utah, Central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Division naming Jason Domingo and Ovation Marketing Group, Inc. as defendants. Ovation Marketing Group, Inc. is a former distributor of our company. In the complaint, the Company alleges that the defendants breached a contract and misappropriated the Company's trade secrets. On January 21, 2014, the defendants filed an answer and counterclaim in response to the complaint. The defendants' answer and counterclaims allege defamation and tortious interference with economic relations, which the defendants claim resulted in damages of not less than $20 million. On December 14, 2015, the Company filed a motion for summary judgment seeking judgment in its favor on the Company's breach of contract claim and dismissal of all defendants’ counterclaims. Also on December 14, 2015, defendants filed a motion for summary judgment seeking dismissal of the Company's claim for misappropriation of trade secrets and to dismiss the Company's judicial proceedings privilege defense against the defamation claim. The Court heard oral argument on the motions for summary judgment on May 17, 2016. The court granted summary judgment in favor of the Company on all claims except the defamation claim, which remains unresolved. The Company has not established a loss contingency accrual for this remaining counterclaim as to which the Company believes liability is not probable and estimable, and the Company plans to vigorously defend against this lawsuit. Nonetheless, an unfavorable resolution of this matter could have a material adverse effect on the Company's business, results of operations or financial condition.</w:t>
      </w:r>
    </w:p>
    <w:p>
      <w:pPr>
        <w:spacing w:after="0" w:line="11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Class Action Lawsuit: </w:t>
      </w:r>
      <w:r>
        <w:rPr>
          <w:rFonts w:ascii="Times New Roman" w:cs="Times New Roman" w:eastAsia="Times New Roman" w:hAnsi="Times New Roman"/>
          <w:sz w:val="18"/>
          <w:szCs w:val="18"/>
          <w:color w:val="auto"/>
        </w:rPr>
        <w:t>On September 15, 2016, a purported securities class action was filed in the United States District Court for the District of Utah,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w:t>
      </w:r>
      <w:r>
        <w:rPr>
          <w:rFonts w:ascii="Times New Roman" w:cs="Times New Roman" w:eastAsia="Times New Roman" w:hAnsi="Times New Roman"/>
          <w:sz w:val="18"/>
          <w:szCs w:val="18"/>
          <w:i w:val="1"/>
          <w:iCs w:val="1"/>
          <w:color w:val="auto"/>
        </w:rPr>
        <w:t>Zhang v. LifeVantage Corp.</w:t>
      </w:r>
      <w:r>
        <w:rPr>
          <w:rFonts w:ascii="Times New Roman" w:cs="Times New Roman" w:eastAsia="Times New Roman" w:hAnsi="Times New Roman"/>
          <w:sz w:val="18"/>
          <w:szCs w:val="18"/>
          <w:color w:val="auto"/>
        </w:rPr>
        <w:t xml:space="preserve">, Case No. 2:16-cv-00965-BCW (D. Utah filed Sept. 15, 2016). In this action (now recaptioned as </w:t>
      </w:r>
      <w:r>
        <w:rPr>
          <w:rFonts w:ascii="Times New Roman" w:cs="Times New Roman" w:eastAsia="Times New Roman" w:hAnsi="Times New Roman"/>
          <w:sz w:val="18"/>
          <w:szCs w:val="18"/>
          <w:i w:val="1"/>
          <w:iCs w:val="1"/>
          <w:color w:val="auto"/>
        </w:rPr>
        <w:t>In re LifeVantage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Litigation</w:t>
      </w:r>
      <w:r>
        <w:rPr>
          <w:rFonts w:ascii="Times New Roman" w:cs="Times New Roman" w:eastAsia="Times New Roman" w:hAnsi="Times New Roman"/>
          <w:sz w:val="18"/>
          <w:szCs w:val="18"/>
          <w:color w:val="auto"/>
        </w:rPr>
        <w:t>), plaintiff alleges that the Company, its Chief Executive Officer and Chief Financial Officer violated Sections 10(b) and/or 20(a)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15 U.S.C. §§ 78j(b), 78t(a), and Rule 10b-5, 17 C.F.R. § 240.10b-5, promulgated thereunder, by making false or misleading statements or omissions in public filings with the Securities and Exchange Commission regarding the Company's internal controls and financial results for the first, second and third quarters of fiscal year 2016. The initial complaint sought unspecified damages against the defendants on behalf of a class of purchasers of the Company’s stock between November 4, 2015 and September 13, 2016. By stipulation filed October 7, 2016, the parties agreed that defendants need not respond to the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- 26-</w:t>
      </w:r>
    </w:p>
    <w:p>
      <w:pPr>
        <w:sectPr>
          <w:pgSz w:w="11900" w:h="16838" w:orient="portrait"/>
          <w:cols w:equalWidth="0" w:num="1">
            <w:col w:w="11420"/>
          </w:cols>
          <w:pgMar w:left="240" w:top="578" w:right="239" w:bottom="1440" w:gutter="0" w:footer="0" w:header="0"/>
        </w:sectPr>
      </w:pPr>
    </w:p>
    <w:bookmarkStart w:id="105" w:name="page106"/>
    <w:bookmarkEnd w:id="105"/>
    <w:p>
      <w:pPr>
        <w:ind w:right="80"/>
        <w:spacing w:after="0" w:line="277" w:lineRule="auto"/>
        <w:rPr>
          <w:sz w:val="20"/>
          <w:szCs w:val="20"/>
          <w:color w:val="auto"/>
        </w:rPr>
      </w:pPr>
      <w:r>
        <w:rPr>
          <w:rFonts w:ascii="Times New Roman" w:cs="Times New Roman" w:eastAsia="Times New Roman" w:hAnsi="Times New Roman"/>
          <w:sz w:val="17"/>
          <w:szCs w:val="17"/>
          <w:color w:val="auto"/>
        </w:rPr>
        <w:t>initial complaint in the action until after a lead plaintiff is appointed pursuant to the Private Securities Litigation Reform Act of 1995, at which time the parties will meet and confer regarding the timing of the filing of an amended complaint and responses thereto. On November 14, 2016, three motions for appointment as lead plaintiff were filed. A ruling on those motions is expected by mid-December 2016.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83"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Derivative Action Lawsuit: </w:t>
      </w:r>
      <w:r>
        <w:rPr>
          <w:rFonts w:ascii="Times New Roman" w:cs="Times New Roman" w:eastAsia="Times New Roman" w:hAnsi="Times New Roman"/>
          <w:sz w:val="18"/>
          <w:szCs w:val="18"/>
          <w:color w:val="auto"/>
        </w:rPr>
        <w:t>On October 11, 2016, two purported shareholder derivative actions were filed in the Third District Court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Utah, Salt Lake County, entitled </w:t>
      </w:r>
      <w:r>
        <w:rPr>
          <w:rFonts w:ascii="Times New Roman" w:cs="Times New Roman" w:eastAsia="Times New Roman" w:hAnsi="Times New Roman"/>
          <w:sz w:val="18"/>
          <w:szCs w:val="18"/>
          <w:i w:val="1"/>
          <w:iCs w:val="1"/>
          <w:color w:val="auto"/>
        </w:rPr>
        <w:t>Johnson v. Jensen</w:t>
      </w:r>
      <w:r>
        <w:rPr>
          <w:rFonts w:ascii="Times New Roman" w:cs="Times New Roman" w:eastAsia="Times New Roman" w:hAnsi="Times New Roman"/>
          <w:sz w:val="18"/>
          <w:szCs w:val="18"/>
          <w:color w:val="auto"/>
        </w:rPr>
        <w:t xml:space="preserve">, Case No. 160906320 MI (Utah Dist. filed Oct. 11, 2016), and </w:t>
      </w:r>
      <w:r>
        <w:rPr>
          <w:rFonts w:ascii="Times New Roman" w:cs="Times New Roman" w:eastAsia="Times New Roman" w:hAnsi="Times New Roman"/>
          <w:sz w:val="18"/>
          <w:szCs w:val="18"/>
          <w:i w:val="1"/>
          <w:iCs w:val="1"/>
          <w:color w:val="auto"/>
        </w:rPr>
        <w:t>Rupp v. Jensen</w:t>
      </w:r>
      <w:r>
        <w:rPr>
          <w:rFonts w:ascii="Times New Roman" w:cs="Times New Roman" w:eastAsia="Times New Roman" w:hAnsi="Times New Roman"/>
          <w:sz w:val="18"/>
          <w:szCs w:val="18"/>
          <w:color w:val="auto"/>
        </w:rPr>
        <w:t xml:space="preserve">, Case No. 160906321 MI (Utah Dist. filed Oct. 11, 2016). In these actions (which are substantively identical), plaintiffs, purportedly on behalf of the Company, allege that the Company's Chief Executive Officer, Chief Financial Officer and members of the Board of Directors breached their fiduciary duties owed to the Company by, among other things, causing or permitting the Company to issue false and misleading statements or omissions in public filings with the Securities and Exchange Commission, as alleged in the class action lawsuit noted above. On October 19, 2016, the Court entered an order consolidating the two actions under the </w:t>
      </w:r>
      <w:r>
        <w:rPr>
          <w:rFonts w:ascii="Times New Roman" w:cs="Times New Roman" w:eastAsia="Times New Roman" w:hAnsi="Times New Roman"/>
          <w:sz w:val="18"/>
          <w:szCs w:val="18"/>
          <w:i w:val="1"/>
          <w:iCs w:val="1"/>
          <w:color w:val="auto"/>
        </w:rPr>
        <w:t>Johnson</w:t>
      </w:r>
      <w:r>
        <w:rPr>
          <w:rFonts w:ascii="Times New Roman" w:cs="Times New Roman" w:eastAsia="Times New Roman" w:hAnsi="Times New Roman"/>
          <w:sz w:val="18"/>
          <w:szCs w:val="18"/>
          <w:color w:val="auto"/>
        </w:rPr>
        <w:t xml:space="preserve"> case number, with the new caption </w:t>
      </w:r>
      <w:r>
        <w:rPr>
          <w:rFonts w:ascii="Times New Roman" w:cs="Times New Roman" w:eastAsia="Times New Roman" w:hAnsi="Times New Roman"/>
          <w:sz w:val="18"/>
          <w:szCs w:val="18"/>
          <w:i w:val="1"/>
          <w:iCs w:val="1"/>
          <w:color w:val="auto"/>
        </w:rPr>
        <w:t>In re LifeVantage Corp. Derivative Litigation</w:t>
      </w:r>
      <w:r>
        <w:rPr>
          <w:rFonts w:ascii="Times New Roman" w:cs="Times New Roman" w:eastAsia="Times New Roman" w:hAnsi="Times New Roman"/>
          <w:sz w:val="18"/>
          <w:szCs w:val="18"/>
          <w:color w:val="auto"/>
        </w:rPr>
        <w:t>, providing that defendants and nominal defendant need not respond to the initial complaints and directing the parties to meet and confer within thirty days on a schedule for further proceedings in this action. On November 21, 2016, the Court approved a stipulation between the parties providing that (a) defendants and nominal defendant need not respond to the initial complaints and (b) within thirty days from the earlier of (i) the Company’s filing of its Form 10-K for fiscal year 2016 and (ii) plaintiffs’ filing of a consolidated amended complaint, the parties will meet and confer on a schedule regarding further proceedings in this action. The Company notes that although the plaintiffs in this action are seeking unspecified damages against the individual defendants on behalf of the Company, the Company owes certain indemnification obligations to these individual defendants under Delaware law and existing indemnification agreements.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15"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 addition to the matters described above, the Company also may become involved in other litigation and regulatory matters incidental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business and the matters disclosed 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148"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During fiscal year 2016, there have been two transactions or series of similar transactions to which the Company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9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fiscal year 2016, Dinng, a brand and digital brand studio, provided branding and marketing services to the Company pursuant to an Agreement for Services dated August 18, 2015 between the Company and Dinng, in the amount of $0.5 million. Our Chief Marketing Officer, Ryan Goodwin, is the founder of Dinng and currently serves as Dinng’s President and Creative Director. Mr. Goodwin and his wife are both salaried employees at Dinng.</w:t>
      </w:r>
    </w:p>
    <w:p>
      <w:pPr>
        <w:spacing w:after="0" w:line="9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5% stockholder of the Company. During fiscal year 2016, the Company paid $2.6 million to Real Salt Lake, pursuant to the terms of this partnership, an additional $0.1 million for an endorsement of Real Monarchs SLC and $0.1 million for product marketing.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Interim Financial Results (Unaudited)</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selected quarterly financial information for quarterly periods during the years ended June 30, 2016 and 2015:</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- 27-</w:t>
      </w:r>
    </w:p>
    <w:p>
      <w:pPr>
        <w:sectPr>
          <w:pgSz w:w="11900" w:h="16838" w:orient="portrait"/>
          <w:cols w:equalWidth="0" w:num="1">
            <w:col w:w="11380"/>
          </w:cols>
          <w:pgMar w:left="240" w:top="580" w:right="27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CONDENSED CONSOLIDATED QUARTERLY RESULTS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51,995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53,033</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206,540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172,608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2,350</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common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per share,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562"/>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48,247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45,301</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190,336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40,761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162,326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common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per share,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4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24, 2016, the Company received a limited waiver and extension letter from Z.B., N.A., doing business as Zions First National Bank (“Zions”), the lender under the March 2016 Credit Facility. The letter states that the Company would violate the covenants set forth in the March 2016 Credit Facility if the Company does not provide Zions with audited financial statements for the Company’s 2016 fiscal year on or before October 28, 2016. Under the limited waiver and extension, Zions has agreed to waive compliance with this requirement if the Company delivers such audited financial statements prior to December 31, 2016. If the Company does not deliver such audited financial statements prior to December 31, 2016, it will be in default under the March 2016 Credit Facility and Zions may proceed to exercise its default rights and remedies thereunder.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ectPr>
          <w:pgSz w:w="11900" w:h="16838" w:orient="portrait"/>
          <w:cols w:equalWidth="0" w:num="1">
            <w:col w:w="11420"/>
          </w:cols>
          <w:pgMar w:left="240" w:top="580" w:right="2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LIFEVANTAGE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FY 2017 ANNUAL INCENTIVE PLAN</w:t>
      </w:r>
    </w:p>
    <w:p>
      <w:pPr>
        <w:sectPr>
          <w:pgSz w:w="11900" w:h="16838" w:orient="portrait"/>
          <w:cols w:equalWidth="0" w:num="1">
            <w:col w:w="9019"/>
          </w:cols>
          <w:pgMar w:left="1440" w:top="1440"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LIFEVANTAGE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FY 2017 ANNUAL INCENTIVE PLAN</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 INTRODUCTION.</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Board adopted this LifeVantage Corporation FY 2017 Annual Incentive Plan as of the Adoption Date. This Plan is operated as a program under, and specifies the terms of “cash awards” as authorized in, the 2010 LTIP.</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purpose of this Plan is to provide appropriate incentives to Participants to grow Company Top Line Revenue and Earnings Per Share (EPS), and accomplish specific functional objectives.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Plan seeks to achieve its purpose by granting Awards which provide for discretionary Performance Bonus payments (i) for the Fiscal Year that are based upon the achievement of Company Performance Metrics and (ii) for Fiscal Quarters that are based upon the achievement of Individual Performance Metrics. Performance Bonus amounts will be determined by a percent-of-goal approach and measured and paid after the end of the Fiscal Year or Fiscal Quarter, as applicable. Performance Bonus payments may only be made with cash. No Shares will ever be issued under this Plan.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Capitalized terms shall have the meaning provided in Section 2 unless otherwise provided in this Plan or any applicable Award Agreement. Awards granted to “covered persons” as defined under Code Section 162(m) are intended to qualify as “performance-based compensation”, to the maximum extent permitted under such law.</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 DEFINITIONS.</w:t>
      </w:r>
    </w:p>
    <w:p>
      <w:pPr>
        <w:spacing w:after="0" w:line="34"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If a Participant’s Award Agreement (or other written agreement executed by and between Participant and the Company) expressly includes defined terms that expressly are different from and/or conflict with the defined terms contained in this Plan, then the defined terms contained in the Award Agreement (or other written agreement executed by and between Participant and the Company) shall govern and shall supersede the definitions provided in this Plan.</w:t>
      </w:r>
    </w:p>
    <w:p>
      <w:pPr>
        <w:spacing w:after="0" w:line="180" w:lineRule="exact"/>
        <w:rPr>
          <w:sz w:val="20"/>
          <w:szCs w:val="20"/>
          <w:color w:val="auto"/>
        </w:rPr>
      </w:pPr>
    </w:p>
    <w:p>
      <w:pPr>
        <w:ind w:firstLine="656"/>
        <w:spacing w:after="0" w:line="288" w:lineRule="auto"/>
        <w:tabs>
          <w:tab w:leader="none" w:pos="109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2010 LTIP</w:t>
      </w:r>
      <w:r>
        <w:rPr>
          <w:rFonts w:ascii="Times New Roman" w:cs="Times New Roman" w:eastAsia="Times New Roman" w:hAnsi="Times New Roman"/>
          <w:sz w:val="22"/>
          <w:szCs w:val="22"/>
          <w:color w:val="auto"/>
        </w:rPr>
        <w:t>” means the Company’s 2010 Long-Term Incentive Plan, as amended from time to time (most recently in November 2014).</w:t>
      </w:r>
    </w:p>
    <w:p>
      <w:pPr>
        <w:spacing w:after="0" w:line="13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Adoption Date</w:t>
      </w:r>
      <w:r>
        <w:rPr>
          <w:rFonts w:ascii="Times New Roman" w:cs="Times New Roman" w:eastAsia="Times New Roman" w:hAnsi="Times New Roman"/>
          <w:sz w:val="22"/>
          <w:szCs w:val="22"/>
          <w:color w:val="auto"/>
        </w:rPr>
        <w:t>” means July 1, 2016.</w:t>
      </w:r>
    </w:p>
    <w:p>
      <w:pPr>
        <w:spacing w:after="0" w:line="233" w:lineRule="exact"/>
        <w:rPr>
          <w:rFonts w:ascii="Times New Roman" w:cs="Times New Roman" w:eastAsia="Times New Roman" w:hAnsi="Times New Roman"/>
          <w:sz w:val="22"/>
          <w:szCs w:val="22"/>
          <w:color w:val="auto"/>
        </w:rPr>
      </w:pPr>
    </w:p>
    <w:p>
      <w:pPr>
        <w:jc w:val="both"/>
        <w:ind w:firstLine="656"/>
        <w:spacing w:after="0" w:line="265" w:lineRule="auto"/>
        <w:tabs>
          <w:tab w:leader="none" w:pos="106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entity other than a Subsidiary, if the Company and/or one or more Subsidiaries own not less than 50% of such entity. For purposes of determining an individual’s “Service,” this definition shall include any entity other than a Subsidiary, if the Company, a Parent and/or one or more Subsidiaries own not less than 50% of such entity.</w:t>
      </w:r>
    </w:p>
    <w:p>
      <w:pPr>
        <w:spacing w:after="0" w:line="161" w:lineRule="exact"/>
        <w:rPr>
          <w:rFonts w:ascii="Times New Roman" w:cs="Times New Roman" w:eastAsia="Times New Roman" w:hAnsi="Times New Roman"/>
          <w:sz w:val="22"/>
          <w:szCs w:val="22"/>
          <w:color w:val="auto"/>
        </w:rPr>
      </w:pPr>
    </w:p>
    <w:p>
      <w:pPr>
        <w:jc w:val="both"/>
        <w:ind w:firstLine="656"/>
        <w:spacing w:after="0" w:line="265" w:lineRule="auto"/>
        <w:tabs>
          <w:tab w:leader="none" w:pos="10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an opportunity for a Participant to earn (i) a discretionary cash Performance Bonus for the Fiscal Year based upon the achievement of Company Performance Metrics and (ii) one or more discretionary cash Performance Bonuses for Fiscal Quarters based</w:t>
      </w:r>
    </w:p>
    <w:p>
      <w:pPr>
        <w:sectPr>
          <w:pgSz w:w="11900" w:h="16838" w:orient="portrait"/>
          <w:cols w:equalWidth="0" w:num="1">
            <w:col w:w="11420"/>
          </w:cols>
          <w:pgMar w:left="240" w:top="621" w:right="2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2"/>
          <w:szCs w:val="22"/>
          <w:color w:val="auto"/>
        </w:rPr>
        <w:t>upon the achievement of Individual Performance Metrics. No payment underlying an Award is earned until it has been paid to the Participant and all payments remain subject to the Committee’s discretion at all times based on all relevant factors, including but not limited to business conditions, performance issues, employment status, and/or any equitable considerations. A Participant may have at most one outstanding Award under the Plan. A Participant’s Award will cease to be outstanding once the Participant is no longer an Eligible Employee.</w:t>
      </w:r>
    </w:p>
    <w:p>
      <w:pPr>
        <w:spacing w:after="0" w:line="17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an agreement between the Company and a Participant evidencing an Award.</w:t>
      </w:r>
    </w:p>
    <w:p>
      <w:pPr>
        <w:spacing w:after="0" w:line="233" w:lineRule="exact"/>
        <w:rPr>
          <w:rFonts w:ascii="Times New Roman" w:cs="Times New Roman" w:eastAsia="Times New Roman" w:hAnsi="Times New Roman"/>
          <w:sz w:val="22"/>
          <w:szCs w:val="22"/>
          <w:color w:val="auto"/>
        </w:rPr>
      </w:pPr>
    </w:p>
    <w:p>
      <w:pPr>
        <w:ind w:firstLine="656"/>
        <w:spacing w:after="0" w:line="288" w:lineRule="auto"/>
        <w:tabs>
          <w:tab w:leader="none" w:pos="108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with respect to a Participant, the annual base salary that such Participant is receiving as of the date the relevant Company Performance Metrics or Individual Performance Metrics are measured.</w:t>
      </w:r>
    </w:p>
    <w:p>
      <w:pPr>
        <w:spacing w:after="0" w:line="13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 as constituted from time to time.</w:t>
      </w:r>
    </w:p>
    <w:p>
      <w:pPr>
        <w:spacing w:after="0" w:line="23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6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any one or more of the following: (i) any merger, consolidation or business combination in which the shareholders of the Company immediately prior to the merger, consolidation or business combination do not own at least a majority of the outstanding equity interests of the surviving parent entity, (ii) the sale of all or substantially all of the Company's assets, (iii) the acquisition of beneficial ownership or control of (including, without limitation, power to vote) a majority of the outstanding Shares by any person or entity (including a "group" as defined by or under Section 13(d)(3) of the Exchange Act), (iv) the dissolution or liquidation of the Company, (v) a contested election of directors, as a result of which or in connection with which the persons who were directors of the Company before such election or their nominees cease to constitute a majority of the Board, or (vi) any other event specified by the Board or the Committee.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69" w:lineRule="exact"/>
        <w:rPr>
          <w:sz w:val="20"/>
          <w:szCs w:val="20"/>
          <w:color w:val="auto"/>
        </w:rPr>
      </w:pPr>
    </w:p>
    <w:p>
      <w:pPr>
        <w:ind w:left="1100" w:hanging="444"/>
        <w:spacing w:after="0"/>
        <w:tabs>
          <w:tab w:leader="none" w:pos="11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and the regulations and interpretations promulgated</w:t>
      </w:r>
    </w:p>
    <w:p>
      <w:pPr>
        <w:spacing w:after="0" w:line="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20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LifeVantage Corporation, a Colorado corporation.</w:t>
      </w:r>
    </w:p>
    <w:p>
      <w:pPr>
        <w:spacing w:after="0" w:line="233" w:lineRule="exact"/>
        <w:rPr>
          <w:rFonts w:ascii="Times New Roman" w:cs="Times New Roman" w:eastAsia="Times New Roman" w:hAnsi="Times New Roman"/>
          <w:sz w:val="22"/>
          <w:szCs w:val="22"/>
          <w:color w:val="auto"/>
        </w:rPr>
      </w:pPr>
    </w:p>
    <w:p>
      <w:pPr>
        <w:jc w:val="both"/>
        <w:ind w:firstLine="656"/>
        <w:spacing w:after="0" w:line="258" w:lineRule="auto"/>
        <w:tabs>
          <w:tab w:leader="none" w:pos="107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Performance Metrics</w:t>
      </w:r>
      <w:r>
        <w:rPr>
          <w:rFonts w:ascii="Times New Roman" w:cs="Times New Roman" w:eastAsia="Times New Roman" w:hAnsi="Times New Roman"/>
          <w:sz w:val="22"/>
          <w:szCs w:val="22"/>
          <w:color w:val="auto"/>
        </w:rPr>
        <w:t>” means the two separate Company financial performance goals for the Fiscal Year and these two goals consist of Top Line Revenue and EPS. Achievement of Company Performance Metrics will comprise 70% of a Participant’s Performance Bonus opportunity divided as follows: Achievement of the Top Line Revenue performance goal will comprise 35% of a Participant’s Performance Bonus opportunity and achievement of the EPS</w:t>
      </w:r>
    </w:p>
    <w:p>
      <w:pPr>
        <w:sectPr>
          <w:pgSz w:w="11900" w:h="16838" w:orient="portrait"/>
          <w:cols w:equalWidth="0" w:num="1">
            <w:col w:w="11420"/>
          </w:cols>
          <w:pgMar w:left="240" w:top="625" w:right="239" w:bottom="1440" w:gutter="0" w:footer="0" w:header="0"/>
        </w:sectPr>
      </w:pPr>
    </w:p>
    <w:bookmarkStart w:id="110" w:name="page111"/>
    <w:bookmarkEnd w:id="110"/>
    <w:p>
      <w:pPr>
        <w:jc w:val="both"/>
        <w:spacing w:after="0" w:line="252" w:lineRule="auto"/>
        <w:rPr>
          <w:sz w:val="20"/>
          <w:szCs w:val="20"/>
          <w:color w:val="auto"/>
        </w:rPr>
      </w:pPr>
      <w:r>
        <w:rPr>
          <w:rFonts w:ascii="Times New Roman" w:cs="Times New Roman" w:eastAsia="Times New Roman" w:hAnsi="Times New Roman"/>
          <w:sz w:val="22"/>
          <w:szCs w:val="22"/>
          <w:color w:val="auto"/>
        </w:rPr>
        <w:t>performance goal will comprise 35% of a Participant’s Performance Bonus opportunity (totaling 70%). The Company Performance Metrics will have multiple hurdle levels and corresponding hurdle dollar amounts which will be reflected in the Performance Bonus Schedule. The hurdle dollar amounts will be appropriately adjusted by the Committee if a Change in Control occurs during the Fiscal Year.</w:t>
      </w:r>
    </w:p>
    <w:p>
      <w:pPr>
        <w:spacing w:after="0" w:line="176" w:lineRule="exact"/>
        <w:rPr>
          <w:sz w:val="20"/>
          <w:szCs w:val="20"/>
          <w:color w:val="auto"/>
        </w:rPr>
      </w:pPr>
    </w:p>
    <w:p>
      <w:pPr>
        <w:ind w:left="1200" w:hanging="544"/>
        <w:spacing w:after="0"/>
        <w:tabs>
          <w:tab w:leader="none" w:pos="12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means an Employee who:</w:t>
      </w:r>
    </w:p>
    <w:p>
      <w:pPr>
        <w:spacing w:after="0" w:line="237" w:lineRule="exact"/>
        <w:rPr>
          <w:rFonts w:ascii="Times New Roman" w:cs="Times New Roman" w:eastAsia="Times New Roman" w:hAnsi="Times New Roman"/>
          <w:sz w:val="22"/>
          <w:szCs w:val="22"/>
          <w:color w:val="auto"/>
        </w:rPr>
      </w:pPr>
    </w:p>
    <w:p>
      <w:pPr>
        <w:ind w:left="1380" w:right="1640" w:hanging="8"/>
        <w:spacing w:after="0" w:line="254" w:lineRule="auto"/>
        <w:tabs>
          <w:tab w:leader="none" w:pos="163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on a leave of absence for any reason for ninety calendar days or more in the Fiscal Year; (ii)is not on any type of corrective action plan; and</w:t>
      </w:r>
    </w:p>
    <w:p>
      <w:pPr>
        <w:spacing w:after="0" w:line="1" w:lineRule="exact"/>
        <w:rPr>
          <w:rFonts w:ascii="Times New Roman" w:cs="Times New Roman" w:eastAsia="Times New Roman" w:hAnsi="Times New Roman"/>
          <w:sz w:val="22"/>
          <w:szCs w:val="22"/>
          <w:color w:val="auto"/>
        </w:rPr>
      </w:pP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(iii)is not a participant in the Company’s FY2017 Sales Incentive Plan.</w:t>
      </w:r>
    </w:p>
    <w:p>
      <w:pPr>
        <w:spacing w:after="0" w:line="191" w:lineRule="exact"/>
        <w:rPr>
          <w:rFonts w:ascii="Times New Roman" w:cs="Times New Roman" w:eastAsia="Times New Roman" w:hAnsi="Times New Roman"/>
          <w:sz w:val="22"/>
          <w:szCs w:val="22"/>
          <w:color w:val="auto"/>
        </w:rPr>
      </w:pPr>
    </w:p>
    <w:p>
      <w:pPr>
        <w:ind w:firstLine="656"/>
        <w:spacing w:after="0" w:line="288" w:lineRule="auto"/>
        <w:tabs>
          <w:tab w:leader="none" w:pos="10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individual who is a common-law employee of the Company, or of a Parent, or of a Subsidiary or of an Affiliate.</w:t>
      </w:r>
    </w:p>
    <w:p>
      <w:pPr>
        <w:spacing w:after="0" w:line="135" w:lineRule="exact"/>
        <w:rPr>
          <w:rFonts w:ascii="Times New Roman" w:cs="Times New Roman" w:eastAsia="Times New Roman" w:hAnsi="Times New Roman"/>
          <w:sz w:val="22"/>
          <w:szCs w:val="22"/>
          <w:color w:val="auto"/>
        </w:rPr>
      </w:pPr>
    </w:p>
    <w:p>
      <w:pPr>
        <w:ind w:right="20" w:firstLine="656"/>
        <w:spacing w:after="0" w:line="288" w:lineRule="auto"/>
        <w:tabs>
          <w:tab w:leader="none" w:pos="121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EPS</w:t>
      </w:r>
      <w:r>
        <w:rPr>
          <w:rFonts w:ascii="Times New Roman" w:cs="Times New Roman" w:eastAsia="Times New Roman" w:hAnsi="Times New Roman"/>
          <w:sz w:val="22"/>
          <w:szCs w:val="22"/>
          <w:color w:val="auto"/>
        </w:rPr>
        <w:t>” means the Company’s diluted income per common share as set forth in the Company's audited financial statements for the Fiscal Year.</w:t>
      </w:r>
    </w:p>
    <w:p>
      <w:pPr>
        <w:spacing w:after="0" w:line="13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Quarter</w:t>
      </w:r>
      <w:r>
        <w:rPr>
          <w:rFonts w:ascii="Times New Roman" w:cs="Times New Roman" w:eastAsia="Times New Roman" w:hAnsi="Times New Roman"/>
          <w:sz w:val="22"/>
          <w:szCs w:val="22"/>
          <w:color w:val="auto"/>
        </w:rPr>
        <w:t>” means each fiscal quarter during the Fiscal Year.</w:t>
      </w:r>
    </w:p>
    <w:p>
      <w:pPr>
        <w:spacing w:after="0" w:line="23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Company’s fiscal year for 2017 which runs from July 1, 2016 through June 30, 2017.</w:t>
      </w:r>
    </w:p>
    <w:p>
      <w:pPr>
        <w:spacing w:after="0" w:line="233" w:lineRule="exact"/>
        <w:rPr>
          <w:rFonts w:ascii="Times New Roman" w:cs="Times New Roman" w:eastAsia="Times New Roman" w:hAnsi="Times New Roman"/>
          <w:sz w:val="22"/>
          <w:szCs w:val="22"/>
          <w:color w:val="auto"/>
        </w:rPr>
      </w:pPr>
    </w:p>
    <w:p>
      <w:pPr>
        <w:jc w:val="both"/>
        <w:ind w:firstLine="656"/>
        <w:spacing w:after="0" w:line="254" w:lineRule="auto"/>
        <w:tabs>
          <w:tab w:leader="none" w:pos="10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Individual Performance Metrics</w:t>
      </w:r>
      <w:r>
        <w:rPr>
          <w:rFonts w:ascii="Times New Roman" w:cs="Times New Roman" w:eastAsia="Times New Roman" w:hAnsi="Times New Roman"/>
          <w:sz w:val="22"/>
          <w:szCs w:val="22"/>
          <w:color w:val="auto"/>
        </w:rPr>
        <w:t>” means the specific, measureable functional objectives for a Participant established in writing by a Participant's supervisor before July 2016 (or within 30 days of the Eligible Employee becoming a Participant if such participation in the Plan commences after July 1, 2016). Achievement of Individual Performance Metrics will be determined for each Fiscal Quarter and, on a Fiscal Quarter basis, will comprise 7.5% of a Participant's Performance Bonus opportunity, representing in the aggregate 30% of a Participant’s Performance Bonus opportunity.</w:t>
      </w:r>
    </w:p>
    <w:p>
      <w:pPr>
        <w:spacing w:after="0" w:line="17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For all Participants, the Performance Bonus amount for the Individual Performance Metrics will be based upon the Participant’s supervisor’s written assessment of the Participant’s performance for the relevant Fiscal Quarter and the degree of Participant’s achievement of his/her Individual Performance Metrics for such Fiscal Quarter. This assessment of performance must be reviewed and concurred with by the supervisor’s manager prior to review with the Participant. The Participant’s immediate supervisor and his/her supervisor will determine the magnitude of the Participant’s Individual Performance Metrics Performance Bonus for the relevant Fiscal Quarter based on the Participant’s individual performance and subject to the limits on payment imposed by the Performance Bonus Schedule. No individual Performance Bonus payment amount will be communicated or paid to the Participant until the review process is completed and the Participant,</w:t>
      </w:r>
    </w:p>
    <w:p>
      <w:pPr>
        <w:sectPr>
          <w:pgSz w:w="11900" w:h="16838" w:orient="portrait"/>
          <w:cols w:equalWidth="0" w:num="1">
            <w:col w:w="11420"/>
          </w:cols>
          <w:pgMar w:left="240" w:top="625"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color w:val="auto"/>
        </w:rPr>
        <w:t>his/her supervisor, and the next level manager have acknowledged their review of the performance assessment document in writing.</w:t>
      </w:r>
    </w:p>
    <w:p>
      <w:pPr>
        <w:spacing w:after="0" w:line="231" w:lineRule="exact"/>
        <w:rPr>
          <w:sz w:val="20"/>
          <w:szCs w:val="20"/>
          <w:color w:val="auto"/>
        </w:rPr>
      </w:pPr>
    </w:p>
    <w:p>
      <w:pPr>
        <w:jc w:val="both"/>
        <w:ind w:firstLine="656"/>
        <w:spacing w:after="0" w:line="263" w:lineRule="auto"/>
        <w:tabs>
          <w:tab w:leader="none" w:pos="115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Individual Performance Metrics may have multiple hurdle levels and corresponding hurdle dollar amounts which will be reflected in the Performance Bonus Schedule. The hurdle dollar amounts will be appropriately adjusted by the Committee if a Change in Control occurs during the relevant Fiscal Quarter.</w:t>
      </w:r>
    </w:p>
    <w:p>
      <w:pPr>
        <w:spacing w:after="0" w:line="163" w:lineRule="exact"/>
        <w:rPr>
          <w:rFonts w:ascii="Times New Roman" w:cs="Times New Roman" w:eastAsia="Times New Roman" w:hAnsi="Times New Roman"/>
          <w:sz w:val="22"/>
          <w:szCs w:val="22"/>
          <w:color w:val="auto"/>
        </w:rPr>
      </w:pPr>
    </w:p>
    <w:p>
      <w:pPr>
        <w:jc w:val="both"/>
        <w:ind w:firstLine="656"/>
        <w:spacing w:after="0" w:line="258" w:lineRule="auto"/>
        <w:tabs>
          <w:tab w:leader="none" w:pos="11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Date shall be considered a Parent commencing as of such date.</w:t>
      </w:r>
    </w:p>
    <w:p>
      <w:pPr>
        <w:spacing w:after="0" w:line="168" w:lineRule="exact"/>
        <w:rPr>
          <w:rFonts w:ascii="Times New Roman" w:cs="Times New Roman" w:eastAsia="Times New Roman" w:hAnsi="Times New Roman"/>
          <w:sz w:val="22"/>
          <w:szCs w:val="22"/>
          <w:color w:val="auto"/>
        </w:rPr>
      </w:pPr>
    </w:p>
    <w:p>
      <w:pPr>
        <w:ind w:firstLine="656"/>
        <w:spacing w:after="0" w:line="288" w:lineRule="auto"/>
        <w:tabs>
          <w:tab w:leader="none" w:pos="11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 Eligible Employee who has been selected by the Committee to participate in this Plan and receive an Award. An individual will cease to be a Participant once such individual is no longer an Eligible Employee.</w:t>
      </w:r>
    </w:p>
    <w:p>
      <w:pPr>
        <w:spacing w:after="0" w:line="135" w:lineRule="exact"/>
        <w:rPr>
          <w:rFonts w:ascii="Times New Roman" w:cs="Times New Roman" w:eastAsia="Times New Roman" w:hAnsi="Times New Roman"/>
          <w:sz w:val="22"/>
          <w:szCs w:val="22"/>
          <w:color w:val="auto"/>
        </w:rPr>
      </w:pPr>
    </w:p>
    <w:p>
      <w:pPr>
        <w:jc w:val="both"/>
        <w:ind w:firstLine="656"/>
        <w:spacing w:after="0" w:line="265" w:lineRule="auto"/>
        <w:tabs>
          <w:tab w:leader="none" w:pos="114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Bonus</w:t>
      </w:r>
      <w:r>
        <w:rPr>
          <w:rFonts w:ascii="Times New Roman" w:cs="Times New Roman" w:eastAsia="Times New Roman" w:hAnsi="Times New Roman"/>
          <w:sz w:val="22"/>
          <w:szCs w:val="22"/>
          <w:color w:val="auto"/>
        </w:rPr>
        <w:t>” means the discretionary cash incentive bonuses that a Participant can separately earn pursuant to his/her Award (i) for the Fiscal Year based upon the achievement of Company Performance Metrics and (ii) for each Fiscal Quarter that are based upon the achievement of Individual Performance Metrics for such Fiscal Quarter.</w:t>
      </w:r>
    </w:p>
    <w:p>
      <w:pPr>
        <w:spacing w:after="0" w:line="161" w:lineRule="exact"/>
        <w:rPr>
          <w:rFonts w:ascii="Times New Roman" w:cs="Times New Roman" w:eastAsia="Times New Roman" w:hAnsi="Times New Roman"/>
          <w:sz w:val="22"/>
          <w:szCs w:val="22"/>
          <w:color w:val="auto"/>
        </w:rPr>
      </w:pPr>
    </w:p>
    <w:p>
      <w:pPr>
        <w:jc w:val="both"/>
        <w:ind w:firstLine="656"/>
        <w:spacing w:after="0" w:line="274" w:lineRule="auto"/>
        <w:tabs>
          <w:tab w:leader="none" w:pos="116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Bonus Percentage</w:t>
      </w:r>
      <w:r>
        <w:rPr>
          <w:rFonts w:ascii="Times New Roman" w:cs="Times New Roman" w:eastAsia="Times New Roman" w:hAnsi="Times New Roman"/>
          <w:sz w:val="21"/>
          <w:szCs w:val="21"/>
          <w:color w:val="auto"/>
        </w:rPr>
        <w:t>” means, except as expressed otherwise in an Award Agreement, the percentages identified in the Performance Bonus Schedule which are based on the Participant’s job level and the degree of actual achievement of the Performance Metrics. In no case can a Participant’s Performance Bonus amount for a Performance Metric exceed the product of the Performance Bonus Percentage obtained from the Performance Bonus Schedule multiplied by the Participant’s Base Salary.</w:t>
      </w:r>
    </w:p>
    <w:p>
      <w:pPr>
        <w:spacing w:after="0" w:line="153" w:lineRule="exact"/>
        <w:rPr>
          <w:rFonts w:ascii="Times New Roman" w:cs="Times New Roman" w:eastAsia="Times New Roman" w:hAnsi="Times New Roman"/>
          <w:sz w:val="21"/>
          <w:szCs w:val="21"/>
          <w:color w:val="auto"/>
        </w:rPr>
      </w:pPr>
    </w:p>
    <w:p>
      <w:pPr>
        <w:jc w:val="both"/>
        <w:ind w:right="20" w:firstLine="656"/>
        <w:spacing w:after="0" w:line="313" w:lineRule="auto"/>
        <w:tabs>
          <w:tab w:leader="none" w:pos="109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Bonus Schedule</w:t>
      </w:r>
      <w:r>
        <w:rPr>
          <w:rFonts w:ascii="Times New Roman" w:cs="Times New Roman" w:eastAsia="Times New Roman" w:hAnsi="Times New Roman"/>
          <w:sz w:val="21"/>
          <w:szCs w:val="21"/>
          <w:color w:val="auto"/>
        </w:rPr>
        <w:t>” means the schedule that the Committee will establish for each Participant which will specify the hurdle dollar amounts for each of the hurdle levels along with the Performance Bonus Percentages for each hurdle level.</w:t>
      </w:r>
    </w:p>
    <w:p>
      <w:pPr>
        <w:spacing w:after="0" w:line="112" w:lineRule="exact"/>
        <w:rPr>
          <w:rFonts w:ascii="Times New Roman" w:cs="Times New Roman" w:eastAsia="Times New Roman" w:hAnsi="Times New Roman"/>
          <w:sz w:val="21"/>
          <w:szCs w:val="21"/>
          <w:color w:val="auto"/>
        </w:rPr>
      </w:pPr>
    </w:p>
    <w:p>
      <w:pPr>
        <w:jc w:val="both"/>
        <w:ind w:firstLine="656"/>
        <w:spacing w:after="0" w:line="265" w:lineRule="auto"/>
        <w:tabs>
          <w:tab w:leader="none" w:pos="11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Metrics</w:t>
      </w:r>
      <w:r>
        <w:rPr>
          <w:rFonts w:ascii="Times New Roman" w:cs="Times New Roman" w:eastAsia="Times New Roman" w:hAnsi="Times New Roman"/>
          <w:sz w:val="22"/>
          <w:szCs w:val="22"/>
          <w:color w:val="auto"/>
        </w:rPr>
        <w:t>” means the Company Performance Metrics and the Individual Performance Metrics. Each of the various Performance Metrics will be evaluated and measured separately and each can generate a potential Performance Bonus payment based on the respective degrees of achievement of each.</w:t>
      </w:r>
    </w:p>
    <w:p>
      <w:pPr>
        <w:spacing w:after="0" w:line="161" w:lineRule="exact"/>
        <w:rPr>
          <w:sz w:val="20"/>
          <w:szCs w:val="20"/>
          <w:color w:val="auto"/>
        </w:rPr>
      </w:pPr>
    </w:p>
    <w:p>
      <w:pPr>
        <w:ind w:left="1180" w:hanging="524"/>
        <w:spacing w:after="0"/>
        <w:tabs>
          <w:tab w:leader="none" w:pos="11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LifeVantage Corporation FY 2017 Annual Incentive Plan as it may be amended by the Board in its</w:t>
      </w:r>
    </w:p>
    <w:p>
      <w:pPr>
        <w:spacing w:after="0" w:line="4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discretion.</w:t>
      </w:r>
    </w:p>
    <w:p>
      <w:pPr>
        <w:spacing w:after="0" w:line="203" w:lineRule="exact"/>
        <w:rPr>
          <w:rFonts w:ascii="Times New Roman" w:cs="Times New Roman" w:eastAsia="Times New Roman" w:hAnsi="Times New Roman"/>
          <w:sz w:val="21"/>
          <w:szCs w:val="21"/>
          <w:color w:val="auto"/>
        </w:rPr>
      </w:pPr>
    </w:p>
    <w:p>
      <w:pPr>
        <w:ind w:firstLine="656"/>
        <w:spacing w:after="0" w:line="288" w:lineRule="auto"/>
        <w:tabs>
          <w:tab w:leader="none" w:pos="12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has the meaning provided to such term under Code Section 409A and the regulations promulgated thereunder.</w:t>
      </w:r>
    </w:p>
    <w:p>
      <w:pPr>
        <w:sectPr>
          <w:pgSz w:w="11900" w:h="16838" w:orient="portrait"/>
          <w:cols w:equalWidth="0" w:num="1">
            <w:col w:w="11420"/>
          </w:cols>
          <w:pgMar w:left="240" w:top="625" w:right="239" w:bottom="1440" w:gutter="0" w:footer="0" w:header="0"/>
        </w:sectPr>
      </w:pPr>
    </w:p>
    <w:bookmarkStart w:id="112" w:name="page113"/>
    <w:bookmarkEnd w:id="112"/>
    <w:p>
      <w:pPr>
        <w:jc w:val="both"/>
        <w:ind w:firstLine="656"/>
        <w:spacing w:after="0" w:line="258" w:lineRule="auto"/>
        <w:tabs>
          <w:tab w:leader="none" w:pos="12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means uninterrupted service as an Employee. Service will be deemed terminated as soon as the entity to which Service is being provided is no longer either (i) the Company, (ii) a Parent, (iii) a Subsidiary or (iv) an Affiliate. The date on which a Participant’s Service is deemed to have terminated for all purposes under this Plan shall be determined in the exclusive authority of the Board.</w:t>
      </w:r>
    </w:p>
    <w:p>
      <w:pPr>
        <w:spacing w:after="0" w:line="168"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Company common stock (which has a par value of $0.001 per Share).</w:t>
      </w:r>
    </w:p>
    <w:p>
      <w:pPr>
        <w:spacing w:after="0" w:line="233" w:lineRule="exact"/>
        <w:rPr>
          <w:rFonts w:ascii="Times New Roman" w:cs="Times New Roman" w:eastAsia="Times New Roman" w:hAnsi="Times New Roman"/>
          <w:sz w:val="22"/>
          <w:szCs w:val="22"/>
          <w:color w:val="auto"/>
        </w:rPr>
      </w:pPr>
    </w:p>
    <w:p>
      <w:pPr>
        <w:ind w:firstLine="656"/>
        <w:spacing w:after="0" w:line="288" w:lineRule="auto"/>
        <w:tabs>
          <w:tab w:leader="none" w:pos="12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 Participant who is considered a “specified employee” within the meaning of Code Section 409A.</w:t>
      </w:r>
    </w:p>
    <w:p>
      <w:pPr>
        <w:spacing w:after="0" w:line="135" w:lineRule="exact"/>
        <w:rPr>
          <w:rFonts w:ascii="Times New Roman" w:cs="Times New Roman" w:eastAsia="Times New Roman" w:hAnsi="Times New Roman"/>
          <w:sz w:val="22"/>
          <w:szCs w:val="22"/>
          <w:color w:val="auto"/>
        </w:rPr>
      </w:pPr>
    </w:p>
    <w:p>
      <w:pPr>
        <w:jc w:val="both"/>
        <w:ind w:firstLine="656"/>
        <w:spacing w:after="0" w:line="254" w:lineRule="auto"/>
        <w:tabs>
          <w:tab w:leader="none" w:pos="115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Date shall be considered a Subsidiary commencing as of such date.</w:t>
      </w:r>
    </w:p>
    <w:p>
      <w:pPr>
        <w:spacing w:after="0" w:line="173" w:lineRule="exact"/>
        <w:rPr>
          <w:rFonts w:ascii="Times New Roman" w:cs="Times New Roman" w:eastAsia="Times New Roman" w:hAnsi="Times New Roman"/>
          <w:sz w:val="22"/>
          <w:szCs w:val="22"/>
          <w:color w:val="auto"/>
        </w:rPr>
      </w:pPr>
    </w:p>
    <w:p>
      <w:pPr>
        <w:ind w:firstLine="656"/>
        <w:spacing w:after="0" w:line="288" w:lineRule="auto"/>
        <w:tabs>
          <w:tab w:leader="none" w:pos="122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Line Revenue</w:t>
      </w:r>
      <w:r>
        <w:rPr>
          <w:rFonts w:ascii="Times New Roman" w:cs="Times New Roman" w:eastAsia="Times New Roman" w:hAnsi="Times New Roman"/>
          <w:sz w:val="22"/>
          <w:szCs w:val="22"/>
          <w:color w:val="auto"/>
        </w:rPr>
        <w:t>” means the Company’s net revenues as set forth in the Company's audited financial statements for the Fiscal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ADMINISTRATION.</w:t>
      </w:r>
    </w:p>
    <w:p>
      <w:pPr>
        <w:spacing w:after="0" w:line="224" w:lineRule="exact"/>
        <w:rPr>
          <w:sz w:val="20"/>
          <w:szCs w:val="20"/>
          <w:color w:val="auto"/>
        </w:rPr>
      </w:pPr>
    </w:p>
    <w:p>
      <w:pPr>
        <w:jc w:val="both"/>
        <w:ind w:right="20" w:firstLine="656"/>
        <w:spacing w:after="0" w:line="263" w:lineRule="auto"/>
        <w:tabs>
          <w:tab w:leader="none" w:pos="11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Composition</w:t>
      </w:r>
      <w:r>
        <w:rPr>
          <w:rFonts w:ascii="Times New Roman" w:cs="Times New Roman" w:eastAsia="Times New Roman" w:hAnsi="Times New Roman"/>
          <w:sz w:val="22"/>
          <w:szCs w:val="22"/>
          <w:color w:val="auto"/>
        </w:rPr>
        <w:t>. A Committee shall administer the Plan. Unless the Board provides otherwise, the Board’s Compensation Committee (or a comparable committee of the Board) shall be the Committee. The Board may also at any time terminate the functions of the Committee and reassume all powers and authority previously delegated to the Committee.</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of the Committee</w:t>
      </w:r>
      <w:r>
        <w:rPr>
          <w:rFonts w:ascii="Times New Roman" w:cs="Times New Roman" w:eastAsia="Times New Roman" w:hAnsi="Times New Roman"/>
          <w:sz w:val="22"/>
          <w:szCs w:val="22"/>
          <w:color w:val="auto"/>
        </w:rPr>
        <w:t>. Subject to the provisions of the Plan, the Committee shall have full authority and discretion to take any actions it deems necessary or advisable for the administration of the Plan. Such actions shall include without limitation:</w:t>
      </w:r>
    </w:p>
    <w:p>
      <w:pPr>
        <w:spacing w:after="0" w:line="167" w:lineRule="exact"/>
        <w:rPr>
          <w:rFonts w:ascii="Times New Roman" w:cs="Times New Roman" w:eastAsia="Times New Roman" w:hAnsi="Times New Roman"/>
          <w:sz w:val="22"/>
          <w:szCs w:val="22"/>
          <w:color w:val="auto"/>
        </w:rPr>
      </w:pPr>
    </w:p>
    <w:p>
      <w:pPr>
        <w:ind w:firstLine="1305"/>
        <w:spacing w:after="0" w:line="271" w:lineRule="auto"/>
        <w:tabs>
          <w:tab w:leader="none" w:pos="155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Eligible Employees who are to receive Awards under the Plan and the amount of payments provided to a Participant (if any) with respect to an Award;</w:t>
      </w:r>
    </w:p>
    <w:p>
      <w:pPr>
        <w:spacing w:after="0" w:line="157" w:lineRule="exact"/>
        <w:rPr>
          <w:rFonts w:ascii="Times New Roman" w:cs="Times New Roman" w:eastAsia="Times New Roman" w:hAnsi="Times New Roman"/>
          <w:sz w:val="22"/>
          <w:szCs w:val="22"/>
          <w:color w:val="auto"/>
        </w:rPr>
      </w:pPr>
    </w:p>
    <w:p>
      <w:pPr>
        <w:ind w:firstLine="1305"/>
        <w:spacing w:after="0" w:line="271" w:lineRule="auto"/>
        <w:tabs>
          <w:tab w:leader="none" w:pos="163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terms, conditions, Performance Metrics (or other objective/subjective goals (if any)) and their degree of satisfaction, and other features and conditions of such Awards, and amending such Awards;</w:t>
      </w:r>
    </w:p>
    <w:p>
      <w:pPr>
        <w:spacing w:after="0" w:line="157"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correcting any defect, supplying any omission, or reconciling or clarifying any inconsistency in the Plan or any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Award Agreement;</w:t>
      </w:r>
    </w:p>
    <w:p>
      <w:pPr>
        <w:spacing w:after="0" w:line="195" w:lineRule="exact"/>
        <w:rPr>
          <w:rFonts w:ascii="Times New Roman" w:cs="Times New Roman" w:eastAsia="Times New Roman" w:hAnsi="Times New Roman"/>
          <w:sz w:val="21"/>
          <w:szCs w:val="21"/>
          <w:color w:val="auto"/>
        </w:rPr>
      </w:pPr>
    </w:p>
    <w:p>
      <w:pPr>
        <w:ind w:left="1680" w:hanging="375"/>
        <w:spacing w:after="0"/>
        <w:tabs>
          <w:tab w:leader="none" w:pos="16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waiving restrictions of Awards at any time and under such terms and conditions as it deems appropriate;</w:t>
      </w:r>
    </w:p>
    <w:p>
      <w:pPr>
        <w:sectPr>
          <w:pgSz w:w="11900" w:h="16838" w:orient="portrait"/>
          <w:cols w:equalWidth="0" w:num="1">
            <w:col w:w="11420"/>
          </w:cols>
          <w:pgMar w:left="240" w:top="621" w:right="239" w:bottom="1440" w:gutter="0" w:footer="0" w:header="0"/>
        </w:sectPr>
      </w:pPr>
    </w:p>
    <w:bookmarkStart w:id="113" w:name="page114"/>
    <w:bookmarkEnd w:id="113"/>
    <w:p>
      <w:pPr>
        <w:ind w:left="1300"/>
        <w:spacing w:after="0"/>
        <w:rPr>
          <w:sz w:val="20"/>
          <w:szCs w:val="20"/>
          <w:color w:val="auto"/>
        </w:rPr>
      </w:pPr>
      <w:r>
        <w:rPr>
          <w:rFonts w:ascii="Times New Roman" w:cs="Times New Roman" w:eastAsia="Times New Roman" w:hAnsi="Times New Roman"/>
          <w:sz w:val="22"/>
          <w:szCs w:val="22"/>
          <w:color w:val="auto"/>
        </w:rPr>
        <w:t>(v) interpreting any extenuating circumstances and modifying the Plan or Award Agreement in its discretion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needed;</w:t>
      </w:r>
    </w:p>
    <w:p>
      <w:pPr>
        <w:spacing w:after="0" w:line="196" w:lineRule="exact"/>
        <w:rPr>
          <w:sz w:val="20"/>
          <w:szCs w:val="20"/>
          <w:color w:val="auto"/>
        </w:rPr>
      </w:pPr>
    </w:p>
    <w:p>
      <w:pPr>
        <w:ind w:left="1680" w:hanging="375"/>
        <w:spacing w:after="0"/>
        <w:tabs>
          <w:tab w:leader="none" w:pos="16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accepting or canceling an order or discontinuing service to a customer;</w:t>
      </w:r>
    </w:p>
    <w:p>
      <w:pPr>
        <w:spacing w:after="0" w:line="21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disallowing sales that are determined not to be in the normal course of business;</w:t>
      </w:r>
    </w:p>
    <w:p>
      <w:pPr>
        <w:spacing w:after="0" w:line="219"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interpreting the Plan and any Award Agreements;</w:t>
      </w:r>
    </w:p>
    <w:p>
      <w:pPr>
        <w:spacing w:after="0" w:line="219" w:lineRule="exact"/>
        <w:rPr>
          <w:rFonts w:ascii="Times New Roman" w:cs="Times New Roman" w:eastAsia="Times New Roman" w:hAnsi="Times New Roman"/>
          <w:sz w:val="22"/>
          <w:szCs w:val="22"/>
          <w:color w:val="auto"/>
        </w:rPr>
      </w:pPr>
    </w:p>
    <w:p>
      <w:pPr>
        <w:ind w:firstLine="1305"/>
        <w:spacing w:after="0" w:line="271" w:lineRule="auto"/>
        <w:tabs>
          <w:tab w:leader="none" w:pos="16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such modifications to the Plan as are necessary to effectuate the intent of the Plan as a result of any changes in applicable laws or accounting treatment;</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1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modifying, amending or revoking the Plan, or discontinuing (either temporarily or permanently) the distribution of any payment at any time and for any reason and making appropriate adjustments to Top Line Revenue or EPS targets due to favorable or unfavorable events unrelated to a Participant’s efforts of performance; and</w:t>
      </w:r>
    </w:p>
    <w:p>
      <w:pPr>
        <w:spacing w:after="0" w:line="17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all other decisions relating to the operation of the Plan;</w:t>
      </w:r>
    </w:p>
    <w:p>
      <w:pPr>
        <w:spacing w:after="0" w:line="219"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3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granting Awards to Eligible Employees who are foreign nationals on such terms and conditions different from those specified in the Plan, which may be necessary or desirable to foster and promote achievement of the purposes of the Plan, and adopting such modifications, procedures, and/or sub plans (with any such sub plans attached as appendices to the Plan) and the like as may be necessary or desirable to comply with provisions of the laws or regulations of other countries or jurisdictions to ensure the viability of the benefits from Awards granted to Participants employed in such countries or jurisdictions, or to meet the requirements that permit the Plan to operate in a qualified or tax efficient manner, and/or comply with applicable foreign laws or regulations.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Committee may adopt such rules or guidelines, as it deems appropriate to implement the Plan. The Committee’s determinations under the Plan shall be final, conclusive and binding on all persons. The Committee’s decisions and determinations need not be uniform and may be made selectively among Participants in the Committee’s sole discretion. The Committee’s decisions and determinations will be afforded the maximum deference provided by applicable law.</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shall effect the granting of Awards under the Plan in accordance with the determinations made by the Committee, by execution of instruments in writing in such form as approved by the Committee.</w:t>
      </w:r>
    </w:p>
    <w:p>
      <w:pPr>
        <w:spacing w:after="0" w:line="158" w:lineRule="exact"/>
        <w:rPr>
          <w:sz w:val="20"/>
          <w:szCs w:val="20"/>
          <w:color w:val="auto"/>
        </w:rPr>
      </w:pPr>
    </w:p>
    <w:p>
      <w:pPr>
        <w:jc w:val="both"/>
        <w:ind w:firstLine="656"/>
        <w:spacing w:after="0" w:line="253" w:lineRule="auto"/>
        <w:tabs>
          <w:tab w:leader="none" w:pos="106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maximum extent permitted by applicable law, each member of the Committee, or of the Board, or any persons (including without limitation Employees and officers) who are delegated by the Board or Committee to perform administrative functions in connection with the Plan, shall be indemnified and held harmless by the Company against and from (i) any loss, cost, liability, or expense that may be imposed upon or reasonably incurred by him or her in connection with or resulting from any claim, action, suit, or proceeding to which he or she</w:t>
      </w:r>
    </w:p>
    <w:p>
      <w:pPr>
        <w:sectPr>
          <w:pgSz w:w="11900" w:h="16838" w:orient="portrait"/>
          <w:cols w:equalWidth="0" w:num="1">
            <w:col w:w="11420"/>
          </w:cols>
          <w:pgMar w:left="240" w:top="625" w:right="239" w:bottom="1440" w:gutter="0" w:footer="0" w:header="0"/>
        </w:sectPr>
      </w:pPr>
    </w:p>
    <w:bookmarkStart w:id="114" w:name="page115"/>
    <w:bookmarkEnd w:id="114"/>
    <w:p>
      <w:pPr>
        <w:jc w:val="both"/>
        <w:spacing w:after="0" w:line="248" w:lineRule="auto"/>
        <w:rPr>
          <w:sz w:val="20"/>
          <w:szCs w:val="20"/>
          <w:color w:val="auto"/>
        </w:rPr>
      </w:pPr>
      <w:r>
        <w:rPr>
          <w:rFonts w:ascii="Times New Roman" w:cs="Times New Roman" w:eastAsia="Times New Roman" w:hAnsi="Times New Roman"/>
          <w:sz w:val="22"/>
          <w:szCs w:val="22"/>
          <w:color w:val="auto"/>
        </w:rPr>
        <w:t>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by contract, as a matter of law, or otherwise, or under any power that the Company may have to indemnify them or hold them harmless.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GENERAL.</w:t>
      </w:r>
    </w:p>
    <w:p>
      <w:pPr>
        <w:spacing w:after="0" w:line="224"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Eligibility</w:t>
      </w:r>
      <w:r>
        <w:rPr>
          <w:rFonts w:ascii="Times New Roman" w:cs="Times New Roman" w:eastAsia="Times New Roman" w:hAnsi="Times New Roman"/>
          <w:sz w:val="22"/>
          <w:szCs w:val="22"/>
          <w:color w:val="auto"/>
        </w:rPr>
        <w:t>. Only Eligible Employees shall be eligible for designation as Participants.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A Participant shall have no rights as a shareholder with respect to any Award.</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Except as otherwise provided in the applicable Award Agreement (or as otherwise determined by the Committee), a Participant’s outstanding Award shall terminate without consideration upon termination of such Participant’s Service.</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0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Notwithstanding anything in the Plan to the contrary, the Plan and Awards granted hereunder are intended to be exempt from the requirements of Code Section 409A and shall be interpreted in a manner consistent with such intention. In the event that any provision of the Plan or an Award Agreement is determined by the Committee to not comply with the applicable requirements of Code Section 409A or the applicable regulations and other guidance issued thereunder, the Committee shall have the authority to take such actions and to make such changes to the Plan or an Award Agreement as the Committee deems necessary to comply with such requirements. Any payment made pursuant to any Award shall be considered a separate payment and not one of a series of payments for purposes of Code Section 409A.</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or anything elsewhere in the Plan or an Award Agreement to the contrary, if upon a Participant’s Separation From Service he/she is then a Specified Employee, then solely to the extent necessary to comply with Code Section 409A and avoid the imposition of taxes under Code Section 409A, the Company shall defer payment of “nonqualified deferred compensation” subject to Code Section 409A payable as a result of and within six (6) months following such Separation From Service under this Plan until the earlier of (i) the first business day of the seventh month following the Participant’s Separation From Service, or (ii) ten (10) days after the Company receives written confirmation of the Participant’s death. Any such delayed payments shall be made without interest.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While it is intended that all payments and benefits provided under the Plan or an Award will be exempt from (or comply with) Code Section 409A, the Company makes no representation or covenant to ensure that the payments under the Plan or an Award are exempt from or compliant</w:t>
      </w:r>
    </w:p>
    <w:p>
      <w:pPr>
        <w:sectPr>
          <w:pgSz w:w="11900" w:h="16838" w:orient="portrait"/>
          <w:cols w:equalWidth="0" w:num="1">
            <w:col w:w="11420"/>
          </w:cols>
          <w:pgMar w:left="240" w:top="625" w:right="239" w:bottom="1440" w:gutter="0" w:footer="0" w:header="0"/>
        </w:sectPr>
      </w:pPr>
    </w:p>
    <w:bookmarkStart w:id="115" w:name="page116"/>
    <w:bookmarkEnd w:id="115"/>
    <w:p>
      <w:pPr>
        <w:jc w:val="both"/>
        <w:spacing w:after="0" w:line="252" w:lineRule="auto"/>
        <w:rPr>
          <w:sz w:val="20"/>
          <w:szCs w:val="20"/>
          <w:color w:val="auto"/>
        </w:rPr>
      </w:pPr>
      <w:r>
        <w:rPr>
          <w:rFonts w:ascii="Times New Roman" w:cs="Times New Roman" w:eastAsia="Times New Roman" w:hAnsi="Times New Roman"/>
          <w:sz w:val="22"/>
          <w:szCs w:val="22"/>
          <w:color w:val="auto"/>
        </w:rPr>
        <w:t>with Code Section 409A. In no event whatsoever shall the Company be liable if a payment or benefit under the Plan or an Award is challenged by any taxing authority or for any additional tax, interest or penalties that may be imposed on a Participant by Code Section 409A or any damages for failing to comply with Code Section 409A. The Participant will be entirely responsible for any and all taxes on any benefits payable to such Participant as a result of the Plan or an Award.</w:t>
      </w:r>
    </w:p>
    <w:p>
      <w:pPr>
        <w:spacing w:after="0" w:line="180" w:lineRule="exact"/>
        <w:rPr>
          <w:sz w:val="20"/>
          <w:szCs w:val="20"/>
          <w:color w:val="auto"/>
        </w:rPr>
      </w:pPr>
    </w:p>
    <w:p>
      <w:pPr>
        <w:jc w:val="both"/>
        <w:ind w:right="20" w:firstLine="656"/>
        <w:spacing w:after="0" w:line="263" w:lineRule="auto"/>
        <w:tabs>
          <w:tab w:leader="none" w:pos="11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Subject to compliance with applicable law and/or regulations, an Award Agreement or other documentation or notices relating to the Plan and/or Awards may be communicated to Participants (and executed by Participants) by electronic media.</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Plan shall be unfunded. Although bookkeeping accounts may be established with respect to Participants who are granted Awards under this Plan, any such accounts will be used merely as a bookkeeping convenience. The Company shall not be required to segregate any assets which may at any time be represented by Awards, nor shall this Plan be construed as providing for such segregation, nor shall the Company or the Board or Committee be deemed to be a trustee of cash to be awarded under the Plan.</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13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of Company</w:t>
      </w:r>
      <w:r>
        <w:rPr>
          <w:rFonts w:ascii="Times New Roman" w:cs="Times New Roman" w:eastAsia="Times New Roman" w:hAnsi="Times New Roman"/>
          <w:sz w:val="22"/>
          <w:szCs w:val="22"/>
          <w:color w:val="auto"/>
        </w:rPr>
        <w:t>. The Company (or members of the Board or Committee) shall not be liable to a Participant or other persons as to any unexpected or adverse tax consequence or any tax consequence expected, but not realized, by any Participant or other person due to the grant, receipt, or settlement of any Award granted hereunder.</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In the event any provision of this Plan shall be held illegal or invalid for any reason, such provisions will be reformed by the Board if possible and to the extent needed in order to be held legal and valid. If it is not possible to reform the illegal or invalid provisions then the illegality or invalidity shall not affect the remaining parts of this Plan, and this Plan shall be construed and enforced as if the illegal or invalid provision had not been included.</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Provision</w:t>
      </w:r>
      <w:r>
        <w:rPr>
          <w:rFonts w:ascii="Times New Roman" w:cs="Times New Roman" w:eastAsia="Times New Roman" w:hAnsi="Times New Roman"/>
          <w:sz w:val="22"/>
          <w:szCs w:val="22"/>
          <w:color w:val="auto"/>
        </w:rPr>
        <w:t>. Any reference to a statute, rule or regulation, or to a section of a statute, rule or regulation, is a reference to that statute, rule, regulation, or section as amended from time to time, both before and after the Adoption Date and including any successor provisions.</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07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Plan and (unless otherwise provided in the Award Agreement) all Awards shall be construed in accordance with and governed by the laws of the State of Utah, but without regard to its conflict of law provisions. The Committee may provide that any dispute as to any Award shall be presented and determined in such forum as the Committee may specify, including through binding arbitration. Unless otherwise provided in the Award Agreement, recipients of an Award under the Plan are deemed to submit to the exclusive jurisdiction and venue of the federal or state courts of Utah to resolve any and all issues that may arise out of or relate to the Plan or any related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or Transfer of Awards</w:t>
      </w:r>
      <w:r>
        <w:rPr>
          <w:rFonts w:ascii="Times New Roman" w:cs="Times New Roman" w:eastAsia="Times New Roman" w:hAnsi="Times New Roman"/>
          <w:sz w:val="22"/>
          <w:szCs w:val="22"/>
          <w:color w:val="auto"/>
        </w:rPr>
        <w:t>. No Award shall be transferable by the Participant. No Award or interest therein may be transferred, assigned, pledged or hypothecated by the Participant during his or her lifetime, whether by operation of law or otherwise, nor may an Award be anticipated, assigned, attached, garnished, optioned, transferred or made subject to any creditor’s process, whether voluntarily, involuntarily or by operation of law, nor may an Award be made subject to</w:t>
      </w:r>
    </w:p>
    <w:p>
      <w:pPr>
        <w:sectPr>
          <w:pgSz w:w="11900" w:h="16838" w:orient="portrait"/>
          <w:cols w:equalWidth="0" w:num="1">
            <w:col w:w="11420"/>
          </w:cols>
          <w:pgMar w:left="240" w:top="625"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execution, attachment or similar process. Any act in violation of this Section 4(k) shall be null and void.</w:t>
      </w:r>
    </w:p>
    <w:p>
      <w:pPr>
        <w:spacing w:after="0" w:line="220" w:lineRule="exact"/>
        <w:rPr>
          <w:sz w:val="20"/>
          <w:szCs w:val="20"/>
          <w:color w:val="auto"/>
        </w:rPr>
      </w:pPr>
    </w:p>
    <w:p>
      <w:pPr>
        <w:jc w:val="both"/>
        <w:ind w:firstLine="656"/>
        <w:spacing w:after="0" w:line="263" w:lineRule="auto"/>
        <w:tabs>
          <w:tab w:leader="none" w:pos="107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Rights</w:t>
      </w:r>
      <w:r>
        <w:rPr>
          <w:rFonts w:ascii="Times New Roman" w:cs="Times New Roman" w:eastAsia="Times New Roman" w:hAnsi="Times New Roman"/>
          <w:sz w:val="22"/>
          <w:szCs w:val="22"/>
          <w:color w:val="auto"/>
        </w:rPr>
        <w:t>. The Company reserves the right at any time to assign accounts, or remove accounts, or to accept or reject orders from customers, and to refrain from paying incentive on draw fees the Company receives, freight charges to customers or with respect to similar or dissimilar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TERMS AND CONDITIONS OF AWARDS.</w:t>
      </w:r>
    </w:p>
    <w:p>
      <w:pPr>
        <w:spacing w:after="0" w:line="224" w:lineRule="exact"/>
        <w:rPr>
          <w:sz w:val="20"/>
          <w:szCs w:val="20"/>
          <w:color w:val="auto"/>
        </w:rPr>
      </w:pPr>
    </w:p>
    <w:p>
      <w:pPr>
        <w:jc w:val="both"/>
        <w:ind w:firstLine="656"/>
        <w:spacing w:after="0" w:line="257" w:lineRule="auto"/>
        <w:tabs>
          <w:tab w:leader="none" w:pos="119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grant of an Award under the Plan shall be evidenced by an executed Award Agreement between the Participant and the Company in the form attached as Exhibit A or such other form that the Committee adopts. Such Award shall be subject to all applicable terms of the Plan and may be subject to any other terms that are not inconsistent with the Plan. The provisions of the various Award Agreements entered into under the Plan need not be identical.</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10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for Payments</w:t>
      </w:r>
      <w:r>
        <w:rPr>
          <w:rFonts w:ascii="Times New Roman" w:cs="Times New Roman" w:eastAsia="Times New Roman" w:hAnsi="Times New Roman"/>
          <w:sz w:val="22"/>
          <w:szCs w:val="22"/>
          <w:color w:val="auto"/>
        </w:rPr>
        <w:t>. An individual must be a Participant on the date of any Performance Bonus payment in order to receive such payment.</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Performance Bonus Amounts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40" w:firstLine="1305"/>
        <w:spacing w:after="0" w:line="247" w:lineRule="auto"/>
        <w:tabs>
          <w:tab w:leader="none" w:pos="155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Fiscal Year (or within 15 days before a Change in Control that occurs during the Fiscal Year), the Committee will determine the Company’s Top Line Revenue and EPS for the Fiscal Year (in the case of a Change in Control, the Company’s Top Line Revenue and EPS will be measured as of through the end of the month prior to the month of the Change in Control). The achieved Performance Bonus Percentages will then be multiplied by the Participant’s Base Salary to determine the potential Performance Bonus amount for each of the Company Performance Metrics. The Committee may also apply its discretion to reduce any Participant’s Performance Bonus. After taking into account the forgoing process of this Section 5(c) and subject to the other terms of this Plan and the Award Agreement, a Participant will then be eligible to receive the resulting Performance Bonus amounts for the Company Performance Metrics, in accordance with Section 5(d).</w:t>
      </w:r>
    </w:p>
    <w:p>
      <w:pPr>
        <w:spacing w:after="0" w:line="186" w:lineRule="exact"/>
        <w:rPr>
          <w:rFonts w:ascii="Times New Roman" w:cs="Times New Roman" w:eastAsia="Times New Roman" w:hAnsi="Times New Roman"/>
          <w:sz w:val="22"/>
          <w:szCs w:val="22"/>
          <w:color w:val="auto"/>
        </w:rPr>
      </w:pPr>
    </w:p>
    <w:p>
      <w:pPr>
        <w:ind w:right="120" w:firstLine="1305"/>
        <w:spacing w:after="0" w:line="247" w:lineRule="auto"/>
        <w:tabs>
          <w:tab w:leader="none" w:pos="161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each Fiscal Quarter (or within 15 days before a Change in Control that occurs during the relevant Fiscal Quarter) the Committee will determine the actual degree to which each Participant’s Individual Performance Metrics were achieved. The achieved Performance Bonus Percentage for the Fiscal Quarter will then be multiplied by the Participant’s Base Salary to determine the potential Performance Bonus amount for the Individual Performance Metrics for such Fiscal Quarter. The Committee may also apply its discretion to reduce any Participant’s Performance Bonus. After taking into account the forgoing process of this Section 5(c) and subject to the other terms of this Plan and the Award Agreement, a Participant will then be eligible to receive the resulting Performance Bonus amount for the Individual Performance Metrics for such Fiscal Quarter, in accordance with Section 5(d).</w:t>
      </w:r>
    </w:p>
    <w:p>
      <w:pPr>
        <w:spacing w:after="0" w:line="186" w:lineRule="exact"/>
        <w:rPr>
          <w:rFonts w:ascii="Times New Roman" w:cs="Times New Roman" w:eastAsia="Times New Roman" w:hAnsi="Times New Roman"/>
          <w:sz w:val="22"/>
          <w:szCs w:val="22"/>
          <w:color w:val="auto"/>
        </w:rPr>
      </w:pPr>
    </w:p>
    <w:p>
      <w:pPr>
        <w:ind w:firstLine="656"/>
        <w:spacing w:after="0" w:line="284" w:lineRule="auto"/>
        <w:tabs>
          <w:tab w:leader="none" w:pos="113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Time of Settlement of Awards</w:t>
      </w:r>
      <w:r>
        <w:rPr>
          <w:rFonts w:ascii="Times New Roman" w:cs="Times New Roman" w:eastAsia="Times New Roman" w:hAnsi="Times New Roman"/>
          <w:sz w:val="22"/>
          <w:szCs w:val="22"/>
          <w:color w:val="auto"/>
        </w:rPr>
        <w:t>. Payment of any Performance Bonuses shall be made solely in the form of cash and in the time frames set forth in this Section 5(d). Subject</w:t>
      </w:r>
    </w:p>
    <w:p>
      <w:pPr>
        <w:sectPr>
          <w:pgSz w:w="11900" w:h="16838" w:orient="portrait"/>
          <w:cols w:equalWidth="0" w:num="1">
            <w:col w:w="11420"/>
          </w:cols>
          <w:pgMar w:left="240" w:top="625" w:right="239" w:bottom="1440" w:gutter="0" w:footer="0" w:header="0"/>
        </w:sectPr>
      </w:pPr>
    </w:p>
    <w:bookmarkStart w:id="117" w:name="page118"/>
    <w:bookmarkEnd w:id="117"/>
    <w:p>
      <w:pPr>
        <w:jc w:val="both"/>
        <w:spacing w:after="0" w:line="252" w:lineRule="auto"/>
        <w:rPr>
          <w:sz w:val="20"/>
          <w:szCs w:val="20"/>
          <w:color w:val="auto"/>
        </w:rPr>
      </w:pPr>
      <w:r>
        <w:rPr>
          <w:rFonts w:ascii="Times New Roman" w:cs="Times New Roman" w:eastAsia="Times New Roman" w:hAnsi="Times New Roman"/>
          <w:sz w:val="22"/>
          <w:szCs w:val="22"/>
          <w:color w:val="auto"/>
        </w:rPr>
        <w:t>to the following sentence, any Performance Bonuses (i) for the Fiscal Year shall be paid out to Participants during the first 2.5 months after the end of the Fiscal Year and (ii) for a Fiscal Quarter shall be paid out to Participants within 45 days after the end of the Fiscal Quarter. Notwithstanding the foregoing, all Performance Bonuses payments will be paid earlier upon the consummation of a Change in Control (and performance will be measured on a pro-rated basis).</w:t>
      </w:r>
    </w:p>
    <w:p>
      <w:pPr>
        <w:spacing w:after="0" w:line="180" w:lineRule="exact"/>
        <w:rPr>
          <w:sz w:val="20"/>
          <w:szCs w:val="20"/>
          <w:color w:val="auto"/>
        </w:rPr>
      </w:pPr>
    </w:p>
    <w:p>
      <w:pPr>
        <w:ind w:right="20" w:firstLine="656"/>
        <w:spacing w:after="0" w:line="284" w:lineRule="auto"/>
        <w:tabs>
          <w:tab w:leader="none" w:pos="112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Creditors’ Rights</w:t>
      </w:r>
      <w:r>
        <w:rPr>
          <w:rFonts w:ascii="Times New Roman" w:cs="Times New Roman" w:eastAsia="Times New Roman" w:hAnsi="Times New Roman"/>
          <w:sz w:val="22"/>
          <w:szCs w:val="22"/>
          <w:color w:val="auto"/>
        </w:rPr>
        <w:t>. A holder of an Award shall have no rights other than those of a general creditor of the Company. Awards represent an unfunded and unsecured obligation of the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ADJUSTMENTS.</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satisfaction of any Company Performance Metrics or Individual Performance Metrics, the value of a Participant’s Award or Performance Bonus or any other benefits granted, issued, retainable, vested and/or to be paid under an Award on account of satisfaction of such Performance Metrics may be reduced by the Committee on the basis of such further considerations as the Committee in its sole discretion shall determine. In other words, this Plan is a discretionary plan and a Participant has no rights to any payment and has not earned any payment under this Plan unless and until the Company has actually provided the Participant with the applicable payment.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LIMITATIONS ON RIGHTS.</w:t>
      </w:r>
    </w:p>
    <w:p>
      <w:pPr>
        <w:spacing w:after="0" w:line="224" w:lineRule="exact"/>
        <w:rPr>
          <w:sz w:val="20"/>
          <w:szCs w:val="20"/>
          <w:color w:val="auto"/>
        </w:rPr>
      </w:pPr>
    </w:p>
    <w:p>
      <w:pPr>
        <w:jc w:val="both"/>
        <w:ind w:firstLine="656"/>
        <w:spacing w:after="0" w:line="257" w:lineRule="auto"/>
        <w:tabs>
          <w:tab w:leader="none" w:pos="106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Rights</w:t>
      </w:r>
      <w:r>
        <w:rPr>
          <w:rFonts w:ascii="Times New Roman" w:cs="Times New Roman" w:eastAsia="Times New Roman" w:hAnsi="Times New Roman"/>
          <w:sz w:val="22"/>
          <w:szCs w:val="22"/>
          <w:color w:val="auto"/>
        </w:rPr>
        <w:t>. Neither the Plan nor any Award granted under the Plan shall be deemed to give any individual a right to remain in Service or to continued participation in the Plan. The Company and its Parents and Subsidiaries and Affiliates reserve the right to terminate the Service of any person at any time, and for any reason, subject to applicable laws, the Company’s Articles of Incorporation and Bylaws, and a written employment agreement (if any).</w:t>
      </w:r>
    </w:p>
    <w:p>
      <w:pPr>
        <w:spacing w:after="0" w:line="172" w:lineRule="exact"/>
        <w:rPr>
          <w:rFonts w:ascii="Times New Roman" w:cs="Times New Roman" w:eastAsia="Times New Roman" w:hAnsi="Times New Roman"/>
          <w:sz w:val="22"/>
          <w:szCs w:val="22"/>
          <w:color w:val="auto"/>
        </w:rPr>
      </w:pPr>
    </w:p>
    <w:p>
      <w:pPr>
        <w:jc w:val="both"/>
        <w:ind w:firstLine="656"/>
        <w:spacing w:after="0" w:line="247" w:lineRule="auto"/>
        <w:tabs>
          <w:tab w:leader="none" w:pos="110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Company Benefit and Compensation Programs</w:t>
      </w:r>
      <w:r>
        <w:rPr>
          <w:rFonts w:ascii="Times New Roman" w:cs="Times New Roman" w:eastAsia="Times New Roman" w:hAnsi="Times New Roman"/>
          <w:sz w:val="22"/>
          <w:szCs w:val="22"/>
          <w:color w:val="auto"/>
        </w:rPr>
        <w:t>. Payments and other benefits received by a Participant under an Award made pursuant to the Plan shall not be deemed a part of a Participant’s regular, recurring compensation for purposes of the termination indemnity or severance pay law of any state. Furthermore, such benefits shall not be included in, nor have any effect on, the determination of benefits under any other employee benefit plan or similar arrangement provided by the Company or a Subsidiary or Affiliate unless expressly so provided by such other plan or arrangement, or except where the Committee expressly determines that inclusion of an Award or portion of an Award should be included. Awards under the Plan may be made in combination with or in addition to, or as alternatives to, grants, awards or payments under any other Company or Subsidiary or Affiliate plans. The Company or any Subsidiary or any Affiliate may adopt such other compensation programs and additional compensation arrangements (in addition to this Plan) as it deems necessary to attract, retain, and motivate officers, directors, employees or independent contractors for their service with the Company and its Subsidiaries and its Affiliates.</w:t>
      </w:r>
    </w:p>
    <w:p>
      <w:pPr>
        <w:spacing w:after="0" w:line="19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Company may (i) cause the cancellation of any Award, (ii) require reimbursement of any Award by a Participant and (iii) effect any other right of recoupment of equity or other compensation provided under this Plan or otherwise in accordance with Company</w:t>
      </w:r>
    </w:p>
    <w:p>
      <w:pPr>
        <w:sectPr>
          <w:pgSz w:w="11900" w:h="16838" w:orient="portrait"/>
          <w:cols w:equalWidth="0" w:num="1">
            <w:col w:w="11420"/>
          </w:cols>
          <w:pgMar w:left="240" w:top="625" w:right="239" w:bottom="1440" w:gutter="0" w:footer="0" w:header="0"/>
        </w:sectPr>
      </w:pPr>
    </w:p>
    <w:bookmarkStart w:id="118" w:name="page119"/>
    <w:bookmarkEnd w:id="118"/>
    <w:p>
      <w:pPr>
        <w:jc w:val="both"/>
        <w:spacing w:after="0" w:line="248" w:lineRule="auto"/>
        <w:rPr>
          <w:sz w:val="20"/>
          <w:szCs w:val="20"/>
          <w:color w:val="auto"/>
        </w:rPr>
      </w:pPr>
      <w:r>
        <w:rPr>
          <w:rFonts w:ascii="Times New Roman" w:cs="Times New Roman" w:eastAsia="Times New Roman" w:hAnsi="Times New Roman"/>
          <w:sz w:val="22"/>
          <w:szCs w:val="22"/>
          <w:color w:val="auto"/>
        </w:rPr>
        <w:t>policies as may be adopted and/or modified from time to time by the Company and/or applicable law (each, a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In addition, a Participant may be required to repay to the Company certain previously paid compensation, whether provided under this Plan or an Award Agreement or otherwise, in accordance with the Clawback Policy. By accepting an Award, a Participant is also agreeing to be bound by the Company’s Clawback Policy which may be amended from time to time by the Company in its discretion (including without limitation to comply with applicable laws or stock exchange requirements) and is further agreeing that all of the Participant’s Awards may be unilaterally amended by the Company to the extent needed to comply with the Clawback Policy.</w:t>
      </w:r>
    </w:p>
    <w:p>
      <w:pPr>
        <w:spacing w:after="0" w:line="18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u w:val="single" w:color="auto"/>
          <w:color w:val="auto"/>
        </w:rPr>
        <w:t>Annual Limitation</w:t>
      </w:r>
      <w:r>
        <w:rPr>
          <w:rFonts w:ascii="Times New Roman" w:cs="Times New Roman" w:eastAsia="Times New Roman" w:hAnsi="Times New Roman"/>
          <w:sz w:val="21"/>
          <w:szCs w:val="21"/>
          <w:color w:val="auto"/>
        </w:rPr>
        <w:t>. Awards granted under this Plan are subject to Section 5.d(vii) of the 2010 LTIP.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TAXES.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Participant shall make arrangements satisfactory to the Company for the satisfaction of any withholding tax obligations (including without limitation federal, state, local and foreign taxes) that arise in connection with his or her Award. The Company shall not be required to make any payment under the Plan until such obligations are fully satisfied and the Company shall, to the maximum extent permitted by law, have the right to deduct any such taxes from any payment of any kind otherwise due to the Participant.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DURATION AND AMENDMENTS.</w:t>
      </w:r>
    </w:p>
    <w:p>
      <w:pPr>
        <w:spacing w:after="0" w:line="224" w:lineRule="exact"/>
        <w:rPr>
          <w:sz w:val="20"/>
          <w:szCs w:val="20"/>
          <w:color w:val="auto"/>
        </w:rPr>
      </w:pPr>
    </w:p>
    <w:p>
      <w:pPr>
        <w:jc w:val="both"/>
        <w:ind w:firstLine="656"/>
        <w:spacing w:after="0" w:line="253" w:lineRule="auto"/>
        <w:tabs>
          <w:tab w:leader="none" w:pos="110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the Plan</w:t>
      </w:r>
      <w:r>
        <w:rPr>
          <w:rFonts w:ascii="Times New Roman" w:cs="Times New Roman" w:eastAsia="Times New Roman" w:hAnsi="Times New Roman"/>
          <w:sz w:val="22"/>
          <w:szCs w:val="22"/>
          <w:color w:val="auto"/>
        </w:rPr>
        <w:t>. The Plan is effective on July 1, 2016 and may be terminated by the Board on any date pursuant to Section 9(b). No further Awards may be granted after the earlier of the Board’s termination of the Plan under Section 9(b), the date of a Change in Control, or June 30, 2017. This Plan will terminate after the Company has provided all payments (if any) to Participants. This Plan will not in any way affect outstanding awards that were issued under any other Company compensation plans.</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Amend or Terminate the Plan</w:t>
      </w:r>
      <w:r>
        <w:rPr>
          <w:rFonts w:ascii="Times New Roman" w:cs="Times New Roman" w:eastAsia="Times New Roman" w:hAnsi="Times New Roman"/>
          <w:sz w:val="22"/>
          <w:szCs w:val="22"/>
          <w:color w:val="auto"/>
        </w:rPr>
        <w:t>. The Board may amend or terminate the Plan or any outstanding Awards at any time and for any reason. In the event of any conflict in terms between the Plan and any Award Agreement, the terms of the Plan shall prevail and govern.</w:t>
      </w:r>
    </w:p>
    <w:p>
      <w:pPr>
        <w:sectPr>
          <w:pgSz w:w="11900" w:h="16838" w:orient="portrait"/>
          <w:cols w:equalWidth="0" w:num="1">
            <w:col w:w="11420"/>
          </w:cols>
          <w:pgMar w:left="240" w:top="621" w:right="2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22"/>
          <w:szCs w:val="22"/>
          <w:b w:val="1"/>
          <w:bCs w:val="1"/>
          <w:color w:val="auto"/>
        </w:rPr>
        <w:t>SECTION 10. EXECUTION.</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record the adoption of this Plan by the Board, the Company has caused its duly authorized officer to execute this Plan on behalf of the Company.</w:t>
      </w:r>
    </w:p>
    <w:p>
      <w:pPr>
        <w:spacing w:after="0" w:line="30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color w:val="auto"/>
        </w:rPr>
        <w:t>LIFEVANTAGE CORPORATION</w:t>
      </w:r>
    </w:p>
    <w:p>
      <w:pPr>
        <w:spacing w:after="0" w:line="23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By: Darren Jensen</w:t>
      </w:r>
    </w:p>
    <w:p>
      <w:pPr>
        <w:ind w:left="5420"/>
        <w:spacing w:after="0"/>
        <w:rPr>
          <w:sz w:val="20"/>
          <w:szCs w:val="20"/>
          <w:color w:val="auto"/>
        </w:rPr>
      </w:pPr>
      <w:r>
        <w:rPr>
          <w:rFonts w:ascii="Times New Roman" w:cs="Times New Roman" w:eastAsia="Times New Roman" w:hAnsi="Times New Roman"/>
          <w:sz w:val="22"/>
          <w:szCs w:val="22"/>
          <w:color w:val="auto"/>
        </w:rPr>
        <w:t>Title: President and CEO</w:t>
      </w:r>
    </w:p>
    <w:p>
      <w:pPr>
        <w:sectPr>
          <w:pgSz w:w="11900" w:h="16838" w:orient="portrait"/>
          <w:cols w:equalWidth="0" w:num="1">
            <w:col w:w="11420"/>
          </w:cols>
          <w:pgMar w:left="240" w:top="1094"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LIFEVANTAGE CORPORATION FY 2017 ANNUAL INCENTIVE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AWARD AGREEMENT</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Pursuant to the LifeVantage Corporation FY 2017 Annual Incentive Plan (“</w:t>
      </w:r>
      <w:r>
        <w:rPr>
          <w:rFonts w:ascii="Times New Roman" w:cs="Times New Roman" w:eastAsia="Times New Roman" w:hAnsi="Times New Roman"/>
          <w:sz w:val="21"/>
          <w:szCs w:val="21"/>
          <w:b w:val="1"/>
          <w:bCs w:val="1"/>
          <w:color w:val="auto"/>
        </w:rPr>
        <w:t>AIP</w:t>
      </w:r>
      <w:r>
        <w:rPr>
          <w:rFonts w:ascii="Times New Roman" w:cs="Times New Roman" w:eastAsia="Times New Roman" w:hAnsi="Times New Roman"/>
          <w:sz w:val="21"/>
          <w:szCs w:val="21"/>
          <w:color w:val="auto"/>
        </w:rPr>
        <w:t>”), the Company hereby informs the Participant named below that he/she has been selected to be a Participant subject to Participant timely executing and delivering to the Company this Award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The governing terms and conditions of Participant’s participation in the AIP are set forth herein and in the AIP and Participant agrees to be bound by such terms and conditions. The entire text of the AIP is incorporated in this Agreement by reference. Certain capitalized terms used in this Agreement are defined in the AIP. This Agreement and the AIP and its exhibits constitute the entire understanding between the Participant and the Company regarding this incentive compensation opportunity. Any prior agreements, commitments or negotiations concerning this incentive compensation opportunity are superseded except as provided in the AIP. As a condition of participation in the AIP and receiving payments under the AIP and notwithstanding any obligation that the Company has to make certain public disclosures about the AIP and its Awards, Participant agrees never to disclose any information regarding the existence or contents of the AIP or this Agreement or Participant's participation in the AIP to any third party (including without limitation other Company employees) except for Participant's spouse, Participant's financial/tax advisors, and/or Participant's legal counsel, each of whom will be informed by Participant of the foregoing confidentiality obligations and each of whom will similarly agree to also maintain such confidentiality.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Becoming Participant: July 1, 2016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Bonus Target Level:</w:t>
      </w:r>
    </w:p>
    <w:p>
      <w:pPr>
        <w:spacing w:after="0" w:line="112" w:lineRule="exact"/>
        <w:rPr>
          <w:sz w:val="20"/>
          <w:szCs w:val="20"/>
          <w:color w:val="auto"/>
        </w:rPr>
      </w:pPr>
    </w:p>
    <w:p>
      <w:pPr>
        <w:ind w:right="4520"/>
        <w:spacing w:after="0" w:line="373" w:lineRule="auto"/>
        <w:rPr>
          <w:sz w:val="20"/>
          <w:szCs w:val="20"/>
          <w:color w:val="auto"/>
        </w:rPr>
      </w:pPr>
      <w:r>
        <w:rPr>
          <w:rFonts w:ascii="Times New Roman" w:cs="Times New Roman" w:eastAsia="Times New Roman" w:hAnsi="Times New Roman"/>
          <w:sz w:val="22"/>
          <w:szCs w:val="22"/>
          <w:color w:val="auto"/>
        </w:rPr>
        <w:t>Annual Base Salary can be found in your Paychex account or by contacting HR Name of Department:</w:t>
      </w:r>
    </w:p>
    <w:p>
      <w:pPr>
        <w:sectPr>
          <w:pgSz w:w="11900" w:h="16838" w:orient="portrait"/>
          <w:cols w:equalWidth="0" w:num="1">
            <w:col w:w="11420"/>
          </w:cols>
          <w:pgMar w:left="240" w:top="621"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Utah.</w:t>
      </w:r>
    </w:p>
    <w:p>
      <w:pPr>
        <w:spacing w:after="0" w:line="21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By signing below, the Participant agrees to all of the terms and conditions described in this Agreement and in the AIP and its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Participant:</w:t>
            </w:r>
          </w:p>
        </w:tc>
        <w:tc>
          <w:tcPr>
            <w:tcW w:w="220" w:type="dxa"/>
            <w:vAlign w:val="bottom"/>
            <w:tcBorders>
              <w:bottom w:val="single" w:sz="8" w:color="auto"/>
            </w:tcBorders>
            <w:gridSpan w:val="2"/>
          </w:tcPr>
          <w:p>
            <w:pPr>
              <w:spacing w:after="0"/>
              <w:rPr>
                <w:sz w:val="22"/>
                <w:szCs w:val="22"/>
                <w:color w:val="auto"/>
              </w:rPr>
            </w:pPr>
          </w:p>
        </w:tc>
        <w:tc>
          <w:tcPr>
            <w:tcW w:w="154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r>
      <w:tr>
        <w:trPr>
          <w:trHeight w:val="289"/>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22"/>
                <w:szCs w:val="22"/>
                <w:color w:val="auto"/>
                <w:w w:val="98"/>
              </w:rPr>
              <w:t>(Signature)</w:t>
            </w:r>
          </w:p>
        </w:tc>
        <w:tc>
          <w:tcPr>
            <w:tcW w:w="1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(Date)</w:t>
            </w:r>
          </w:p>
        </w:tc>
      </w:tr>
      <w:tr>
        <w:trPr>
          <w:trHeight w:val="420"/>
        </w:trPr>
        <w:tc>
          <w:tcPr>
            <w:tcW w:w="29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Company: ___</w:t>
            </w:r>
          </w:p>
        </w:tc>
        <w:tc>
          <w:tcPr>
            <w:tcW w:w="10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9"/>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260" w:type="dxa"/>
            <w:vAlign w:val="bottom"/>
            <w:gridSpan w:val="5"/>
          </w:tcPr>
          <w:p>
            <w:pPr>
              <w:jc w:val="center"/>
              <w:ind w:right="120"/>
              <w:spacing w:after="0"/>
              <w:rPr>
                <w:sz w:val="20"/>
                <w:szCs w:val="20"/>
                <w:color w:val="auto"/>
              </w:rPr>
            </w:pPr>
            <w:r>
              <w:rPr>
                <w:rFonts w:ascii="Times New Roman" w:cs="Times New Roman" w:eastAsia="Times New Roman" w:hAnsi="Times New Roman"/>
                <w:sz w:val="22"/>
                <w:szCs w:val="22"/>
                <w:color w:val="auto"/>
                <w:w w:val="98"/>
              </w:rPr>
              <w:t>President and CEO</w:t>
            </w:r>
          </w:p>
        </w:tc>
        <w:tc>
          <w:tcPr>
            <w:tcW w:w="104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2"/>
              </w:rPr>
              <w:t>(Date)</w:t>
            </w:r>
          </w:p>
        </w:tc>
      </w:tr>
    </w:tbl>
    <w:p>
      <w:pPr>
        <w:sectPr>
          <w:pgSz w:w="11900" w:h="16838" w:orient="portrait"/>
          <w:cols w:equalWidth="0" w:num="1">
            <w:col w:w="11120"/>
          </w:cols>
          <w:pgMar w:left="240" w:top="882" w:right="5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b w:val="1"/>
          <w:bCs w:val="1"/>
          <w:color w:val="auto"/>
        </w:rPr>
        <w:t>LIFEVANTAGE CORPORATION</w:t>
      </w:r>
    </w:p>
    <w:p>
      <w:pPr>
        <w:spacing w:after="0" w:line="4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b w:val="1"/>
          <w:bCs w:val="1"/>
          <w:color w:val="auto"/>
        </w:rPr>
        <w:t>FY2017 SALES INCENTIVE PLAN</w:t>
      </w:r>
    </w:p>
    <w:p>
      <w:pPr>
        <w:sectPr>
          <w:pgSz w:w="11900" w:h="16838" w:orient="portrait"/>
          <w:cols w:equalWidth="0" w:num="1">
            <w:col w:w="9019"/>
          </w:cols>
          <w:pgMar w:left="1440" w:top="1440" w:right="1440" w:bottom="1440" w:gutter="0" w:footer="0" w:header="0"/>
        </w:sectPr>
      </w:pPr>
    </w:p>
    <w:bookmarkStart w:id="123" w:name="page124"/>
    <w:bookmarkEnd w:id="123"/>
    <w:p>
      <w:pPr>
        <w:ind w:left="4080"/>
        <w:spacing w:after="0"/>
        <w:rPr>
          <w:sz w:val="20"/>
          <w:szCs w:val="20"/>
          <w:color w:val="auto"/>
        </w:rPr>
      </w:pPr>
      <w:r>
        <w:rPr>
          <w:rFonts w:ascii="Times New Roman" w:cs="Times New Roman" w:eastAsia="Times New Roman" w:hAnsi="Times New Roman"/>
          <w:sz w:val="22"/>
          <w:szCs w:val="22"/>
          <w:b w:val="1"/>
          <w:bCs w:val="1"/>
          <w:color w:val="auto"/>
        </w:rPr>
        <w:t>LIFEVANTAGE CORPORATION</w:t>
      </w:r>
    </w:p>
    <w:p>
      <w:pPr>
        <w:spacing w:after="0" w:line="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FY2017 SALES INCENTIVE PLAN</w:t>
      </w:r>
    </w:p>
    <w:p>
      <w:pPr>
        <w:spacing w:after="0" w:line="200" w:lineRule="exact"/>
        <w:rPr>
          <w:sz w:val="20"/>
          <w:szCs w:val="20"/>
          <w:color w:val="auto"/>
        </w:rPr>
      </w:pPr>
    </w:p>
    <w:p>
      <w:pPr>
        <w:spacing w:after="0" w:line="260" w:lineRule="exact"/>
        <w:rPr>
          <w:sz w:val="20"/>
          <w:szCs w:val="20"/>
          <w:color w:val="auto"/>
        </w:rPr>
      </w:pPr>
    </w:p>
    <w:p>
      <w:pPr>
        <w:spacing w:after="0"/>
        <w:tabs>
          <w:tab w:leader="none" w:pos="73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Board adopted this LifeVantage Corporation FY2017 Sales Incentive Plan as of the Adoption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purpose of this Plan is to align Company sales personnel with the Company’s business strategy and key objectives.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Specifically, the Plan is designed to:</w:t>
      </w:r>
    </w:p>
    <w:p>
      <w:pPr>
        <w:spacing w:after="0" w:line="196" w:lineRule="exact"/>
        <w:rPr>
          <w:sz w:val="20"/>
          <w:szCs w:val="20"/>
          <w:color w:val="auto"/>
        </w:rPr>
      </w:pPr>
    </w:p>
    <w:p>
      <w:pPr>
        <w:ind w:left="660" w:hanging="260"/>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alignment of expectations between the sales organization and individual Participants;</w:t>
      </w:r>
    </w:p>
    <w:p>
      <w:pPr>
        <w:spacing w:after="0" w:line="27" w:lineRule="exact"/>
        <w:rPr>
          <w:rFonts w:ascii="Times New Roman" w:cs="Times New Roman" w:eastAsia="Times New Roman" w:hAnsi="Times New Roman"/>
          <w:sz w:val="22"/>
          <w:szCs w:val="22"/>
          <w:color w:val="auto"/>
        </w:rPr>
      </w:pPr>
    </w:p>
    <w:p>
      <w:pPr>
        <w:ind w:left="660" w:hanging="260"/>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Focus on growth in enrollment and Company revenues;</w:t>
      </w:r>
    </w:p>
    <w:p>
      <w:pPr>
        <w:spacing w:after="0" w:line="3" w:lineRule="exact"/>
        <w:rPr>
          <w:rFonts w:ascii="Times New Roman" w:cs="Times New Roman" w:eastAsia="Times New Roman" w:hAnsi="Times New Roman"/>
          <w:sz w:val="22"/>
          <w:szCs w:val="22"/>
          <w:color w:val="auto"/>
        </w:rPr>
      </w:pPr>
    </w:p>
    <w:p>
      <w:pPr>
        <w:ind w:left="660" w:hanging="260"/>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reductions in distributor attrition; and</w:t>
      </w:r>
    </w:p>
    <w:p>
      <w:pPr>
        <w:spacing w:after="0" w:line="3" w:lineRule="exact"/>
        <w:rPr>
          <w:rFonts w:ascii="Times New Roman" w:cs="Times New Roman" w:eastAsia="Times New Roman" w:hAnsi="Times New Roman"/>
          <w:sz w:val="22"/>
          <w:szCs w:val="22"/>
          <w:color w:val="auto"/>
        </w:rPr>
      </w:pPr>
    </w:p>
    <w:p>
      <w:pPr>
        <w:ind w:left="660" w:hanging="260"/>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a pay for performance philosophy where a Participant is recognized and rewarded for achieving results.</w:t>
      </w: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Plan seeks to achieve its purpose by granting Awards which provide for discretionary Performance Bonus payments that are based on achievement of Performance Metrics and with actual payment of any earned bonus determined as a percentage of a Participant’s Base Salary. Annual performance targets (from the Company’s approved Fiscal Year 2017 Plan) have been divided into quarterly performance expectations for three discrete Performance Metrics. Annual incentives paid will be determined by a percent-of-goal approach and measured and paid on a quarterly basis. No Shares will ever be issued under this Plan. Award payments may only be made with cash.</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shall have the meaning provided in Section 2 unless otherwise provided in this Plan or any applicable Award Agreement.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2. DEFINITIONS. </w:t>
      </w:r>
      <w:r>
        <w:rPr>
          <w:rFonts w:ascii="Times New Roman" w:cs="Times New Roman" w:eastAsia="Times New Roman" w:hAnsi="Times New Roman"/>
          <w:sz w:val="22"/>
          <w:szCs w:val="22"/>
          <w:color w:val="auto"/>
        </w:rPr>
        <w:t>If a Participant’s Award Agreement (or other written agreement executed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and the Company) expressly includes defined terms that expressly are different from and/or conflict with the defined terms contained in this Plan then the defined terms contained in the Award Agreement (or other written agreement executed by and between Participant and the Company) shall govern and shall supersede the definitions provided in this Plan.</w:t>
      </w:r>
    </w:p>
    <w:p>
      <w:pPr>
        <w:spacing w:after="0" w:line="172"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“Adoption Date” means July 1, 2016.</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other than a Subsidiary, if the Company and/or one or more Subsidiaries own not less than 50% of such entity. For purposes of determining an individual’s “Service,” this definition shall include any entity other than a Subsidiary, if the Company, a Parent and/or one or more Subsidiaries own not less than 50% of such entity.</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means an opportunity for a Participant to earn a discretionary cash Performance Bonus for each Quarter that the Award remains outstanding based on achievement of Performance Metrics for such Quarter. No payment underlying an Award is earned until it has been paid to the Participant and all payments remain subject to the Committee’s discretion at all times based on all relevant factors, including but not limited</w:t>
      </w:r>
    </w:p>
    <w:p>
      <w:pPr>
        <w:sectPr>
          <w:pgSz w:w="11900" w:h="16838" w:orient="portrait"/>
          <w:cols w:equalWidth="0" w:num="1">
            <w:col w:w="11420"/>
          </w:cols>
          <w:pgMar w:left="240" w:top="364" w:right="239" w:bottom="1440" w:gutter="0" w:footer="0" w:header="0"/>
        </w:sectPr>
      </w:pPr>
    </w:p>
    <w:bookmarkStart w:id="124" w:name="page125"/>
    <w:bookmarkEnd w:id="124"/>
    <w:p>
      <w:pPr>
        <w:jc w:val="both"/>
        <w:spacing w:after="0" w:line="257" w:lineRule="auto"/>
        <w:rPr>
          <w:sz w:val="20"/>
          <w:szCs w:val="20"/>
          <w:color w:val="auto"/>
        </w:rPr>
      </w:pPr>
      <w:r>
        <w:rPr>
          <w:rFonts w:ascii="Times New Roman" w:cs="Times New Roman" w:eastAsia="Times New Roman" w:hAnsi="Times New Roman"/>
          <w:sz w:val="22"/>
          <w:szCs w:val="22"/>
          <w:color w:val="auto"/>
        </w:rPr>
        <w:t>to business conditions, performance issues, employment status, and/or any equitable considerations. A Participant may have at most one outstanding Award under the Plan. A Participant’s Award will cease to be outstanding once the Participant is no longer an Eligible Employee.</w:t>
      </w:r>
    </w:p>
    <w:p>
      <w:pPr>
        <w:spacing w:after="0" w:line="173" w:lineRule="exact"/>
        <w:rPr>
          <w:sz w:val="20"/>
          <w:szCs w:val="20"/>
          <w:color w:val="auto"/>
        </w:rPr>
      </w:pPr>
    </w:p>
    <w:p>
      <w:pPr>
        <w:ind w:firstLine="656"/>
        <w:spacing w:after="0" w:line="284" w:lineRule="auto"/>
        <w:tabs>
          <w:tab w:leader="none" w:pos="113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Agreement” means an agreement between the Company and a Participant evidencing an Award. The Award Agreement may specify the terms and conditions for one or more Quarters, including for the entire Fiscal Year.</w:t>
      </w:r>
    </w:p>
    <w:p>
      <w:pPr>
        <w:spacing w:after="0" w:line="144"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means, with respect to a Participant, the annual base salary that such Participant is receiving as of June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30, 2016.</w:t>
      </w:r>
    </w:p>
    <w:p>
      <w:pPr>
        <w:spacing w:after="0" w:line="207" w:lineRule="exact"/>
        <w:rPr>
          <w:rFonts w:ascii="Times New Roman" w:cs="Times New Roman" w:eastAsia="Times New Roman" w:hAnsi="Times New Roman"/>
          <w:sz w:val="21"/>
          <w:szCs w:val="21"/>
          <w:color w:val="auto"/>
        </w:rPr>
      </w:pPr>
    </w:p>
    <w:p>
      <w:pPr>
        <w:ind w:left="1060" w:hanging="404"/>
        <w:spacing w:after="0"/>
        <w:tabs>
          <w:tab w:leader="none" w:pos="10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 as constituted from time to time.</w:t>
      </w:r>
    </w:p>
    <w:p>
      <w:pPr>
        <w:spacing w:after="0" w:line="233" w:lineRule="exact"/>
        <w:rPr>
          <w:rFonts w:ascii="Times New Roman" w:cs="Times New Roman" w:eastAsia="Times New Roman" w:hAnsi="Times New Roman"/>
          <w:sz w:val="22"/>
          <w:szCs w:val="22"/>
          <w:color w:val="auto"/>
        </w:rPr>
      </w:pPr>
    </w:p>
    <w:p>
      <w:pPr>
        <w:jc w:val="both"/>
        <w:ind w:firstLine="656"/>
        <w:spacing w:after="0" w:line="248" w:lineRule="auto"/>
        <w:tabs>
          <w:tab w:leader="none" w:pos="110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means, except as may otherwise be provided in a Participant’s Award Agreement, (i) dishonesty or fraud, (ii) serious willful misconduct, (iii) unauthorized use or disclosure of confidential information or trade secrets, (iv) conviction or confession of a felony, or (v) any other act or omission by a Participant that, in the opinion of the Company, could reasonably be expected to adversely affect the Company’s or a Subsidiary’s or an Affiliate’s business, financial condition, prospects and/or reputation. In each of the foregoing subclauses (i) through (v), whether or not a “Cause” event has occurred will be determined by the Committee whose determination shall be final, conclusive and binding. A Participant’s Service shall be deemed to have terminated for Cause if, after the Participant’s Service has terminated, facts and circumstances are discovered that would have justified a termination for Cause, including, without limitation, violation of material Company policies or breach of confidentiality or other restrictive covenants that may apply to the Participant.</w:t>
      </w:r>
    </w:p>
    <w:p>
      <w:pPr>
        <w:spacing w:after="0" w:line="186" w:lineRule="exact"/>
        <w:rPr>
          <w:rFonts w:ascii="Times New Roman" w:cs="Times New Roman" w:eastAsia="Times New Roman" w:hAnsi="Times New Roman"/>
          <w:sz w:val="22"/>
          <w:szCs w:val="22"/>
          <w:color w:val="auto"/>
        </w:rPr>
      </w:pPr>
    </w:p>
    <w:p>
      <w:pPr>
        <w:jc w:val="both"/>
        <w:ind w:firstLine="656"/>
        <w:spacing w:after="0" w:line="249" w:lineRule="auto"/>
        <w:tabs>
          <w:tab w:leader="none" w:pos="118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the occurrence of any one or more of the following: (i) any merger, consolidation or business combination in which the shareholders of the Company immediately prior to the merger, consolidation or business combination do not own at least a majority of the outstanding equity interests of the surviving parent entity, (ii) the sale of all or substantially all of the Company's assets, (iii) the acquisition of beneficial ownership or control of (including, without limitation, power to vote) a majority of the outstanding Shares by any person or entity (including a "group" as defined by or under Section 13(d)(3) of the Exchange Act), (iv) the dissolution or liquidation of the Company, (v) a contested election of directors, as a result of which or in connection with which the persons who were directors of the Company before such election or their nominees cease to constitute a majority of the Board, or (vi) any other event specified by the Board or the Committee.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73" w:lineRule="exact"/>
        <w:rPr>
          <w:sz w:val="20"/>
          <w:szCs w:val="20"/>
          <w:color w:val="auto"/>
        </w:rPr>
      </w:pPr>
    </w:p>
    <w:p>
      <w:pPr>
        <w:ind w:left="1100" w:hanging="444"/>
        <w:spacing w:after="0"/>
        <w:tabs>
          <w:tab w:leader="none" w:pos="11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 and the regulations and interpretations promulgated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20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committee described in Section 3.</w:t>
      </w:r>
    </w:p>
    <w:p>
      <w:pPr>
        <w:sectPr>
          <w:pgSz w:w="11900" w:h="16838" w:orient="portrait"/>
          <w:cols w:equalWidth="0" w:num="1">
            <w:col w:w="11420"/>
          </w:cols>
          <w:pgMar w:left="240" w:top="369" w:right="239" w:bottom="1440" w:gutter="0" w:footer="0" w:header="0"/>
        </w:sectPr>
      </w:pPr>
    </w:p>
    <w:bookmarkStart w:id="125" w:name="page126"/>
    <w:bookmarkEnd w:id="125"/>
    <w:p>
      <w:pPr>
        <w:ind w:left="1080" w:hanging="424"/>
        <w:spacing w:after="0"/>
        <w:tabs>
          <w:tab w:leader="none" w:pos="10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LifeVantage Corporation, a Colorado corporation.</w:t>
      </w:r>
    </w:p>
    <w:p>
      <w:pPr>
        <w:spacing w:after="0" w:line="23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means the Compensation Committee of the Board.</w:t>
      </w:r>
    </w:p>
    <w:p>
      <w:pPr>
        <w:spacing w:after="0" w:line="23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Employee” means an Employee who:</w:t>
      </w:r>
    </w:p>
    <w:p>
      <w:pPr>
        <w:spacing w:after="0" w:line="233" w:lineRule="exact"/>
        <w:rPr>
          <w:sz w:val="20"/>
          <w:szCs w:val="20"/>
          <w:color w:val="auto"/>
        </w:rPr>
      </w:pPr>
    </w:p>
    <w:p>
      <w:pPr>
        <w:ind w:left="1620" w:right="340" w:hanging="248"/>
        <w:spacing w:after="0" w:line="254" w:lineRule="auto"/>
        <w:tabs>
          <w:tab w:leader="none" w:pos="16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responsible for sales targets within the sales organization (must be an account manager or sales manager or above);</w:t>
      </w:r>
    </w:p>
    <w:p>
      <w:pPr>
        <w:spacing w:after="0" w:line="2" w:lineRule="exact"/>
        <w:rPr>
          <w:sz w:val="20"/>
          <w:szCs w:val="20"/>
          <w:color w:val="auto"/>
        </w:rPr>
      </w:pPr>
    </w:p>
    <w:p>
      <w:pPr>
        <w:ind w:left="1380" w:right="2160"/>
        <w:spacing w:after="0" w:line="243" w:lineRule="auto"/>
        <w:rPr>
          <w:sz w:val="20"/>
          <w:szCs w:val="20"/>
          <w:color w:val="auto"/>
        </w:rPr>
      </w:pPr>
      <w:r>
        <w:rPr>
          <w:rFonts w:ascii="Times New Roman" w:cs="Times New Roman" w:eastAsia="Times New Roman" w:hAnsi="Times New Roman"/>
          <w:sz w:val="22"/>
          <w:szCs w:val="22"/>
          <w:color w:val="auto"/>
        </w:rPr>
        <w:t>(ii)is not on a leave of absence for any reason for thirty calendar days or more in a Quarter; (iii)is not on any type of corrective action plan; and</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(iv)is not a participant in the Company’s FY2016 Annual Incentive Plan.</w:t>
      </w:r>
    </w:p>
    <w:p>
      <w:pPr>
        <w:spacing w:after="0" w:line="196" w:lineRule="exact"/>
        <w:rPr>
          <w:sz w:val="20"/>
          <w:szCs w:val="20"/>
          <w:color w:val="auto"/>
        </w:rPr>
      </w:pPr>
    </w:p>
    <w:p>
      <w:pPr>
        <w:ind w:firstLine="656"/>
        <w:spacing w:after="0" w:line="284" w:lineRule="auto"/>
        <w:tabs>
          <w:tab w:leader="none" w:pos="109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means any individual who is a common-law employee of the Company, or of a Parent, or of a Subsidiary or of an Affiliate.</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means the Company’s fiscal year for 2017 which runs from July 1, 2016 through June 30, 2017.</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16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means United States generally accepted accounting principles as established by the Financial Accounting Standards Board.</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Date shall be considered a Parent commencing as of such date.</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1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an Eligible Employee who has been selected by the Committee to participate in this Plan and receive an Award. An individual will cease to be a Participant once such individual is no longer an Eligible Employee.</w:t>
      </w:r>
    </w:p>
    <w:p>
      <w:pPr>
        <w:spacing w:after="0" w:line="144"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Bonus” means the discretionary cash incentive bonuses that a Participant can earn pursuant to his/her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207" w:lineRule="exact"/>
        <w:rPr>
          <w:rFonts w:ascii="Times New Roman" w:cs="Times New Roman" w:eastAsia="Times New Roman" w:hAnsi="Times New Roman"/>
          <w:sz w:val="22"/>
          <w:szCs w:val="22"/>
          <w:color w:val="auto"/>
        </w:rPr>
      </w:pPr>
    </w:p>
    <w:p>
      <w:pPr>
        <w:ind w:firstLine="656"/>
        <w:spacing w:after="0" w:line="284" w:lineRule="auto"/>
        <w:tabs>
          <w:tab w:leader="none" w:pos="109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Expectation” means, with respect to a Performance Metric, the target quantitative expected performance that is enumerated in a Participant’s Award Agreement.</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0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Metrics” means the three separate performance goals in each Quarter for an Award and these three goals consist of (i) Company revenue, (ii) enrollment, and (iii) distributor attrition rate as described further below.</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Performance Metrics</w:t>
            </w:r>
          </w:p>
        </w:tc>
        <w:tc>
          <w:tcPr>
            <w:tcW w:w="2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Description</w:t>
            </w:r>
          </w:p>
        </w:tc>
        <w:tc>
          <w:tcPr>
            <w:tcW w:w="1380" w:type="dxa"/>
            <w:vAlign w:val="bottom"/>
          </w:tcPr>
          <w:p>
            <w:pPr>
              <w:spacing w:after="0"/>
              <w:rPr>
                <w:sz w:val="21"/>
                <w:szCs w:val="21"/>
                <w:color w:val="auto"/>
              </w:rPr>
            </w:pPr>
          </w:p>
        </w:tc>
      </w:tr>
      <w:tr>
        <w:trPr>
          <w:trHeight w:val="287"/>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w w:val="97"/>
              </w:rPr>
              <w:t>Based on achievement of Company revenue goals</w:t>
            </w:r>
          </w:p>
        </w:tc>
      </w:tr>
    </w:tbl>
    <w:p>
      <w:pPr>
        <w:ind w:left="3240"/>
        <w:spacing w:after="0"/>
        <w:rPr>
          <w:sz w:val="20"/>
          <w:szCs w:val="20"/>
          <w:color w:val="auto"/>
        </w:rPr>
      </w:pPr>
      <w:r>
        <w:rPr>
          <w:rFonts w:ascii="Times New Roman" w:cs="Times New Roman" w:eastAsia="Times New Roman" w:hAnsi="Times New Roman"/>
          <w:sz w:val="22"/>
          <w:szCs w:val="22"/>
          <w:color w:val="auto"/>
        </w:rPr>
        <w:t>for assigned geography/territory/accounts</w:t>
      </w:r>
    </w:p>
    <w:p>
      <w:pPr>
        <w:sectPr>
          <w:pgSz w:w="11900" w:h="16838" w:orient="portrait"/>
          <w:cols w:equalWidth="0" w:num="1">
            <w:col w:w="11420"/>
          </w:cols>
          <w:pgMar w:left="240" w:top="369" w:right="239" w:bottom="1440" w:gutter="0" w:footer="0" w:header="0"/>
        </w:sectPr>
      </w:pPr>
    </w:p>
    <w:bookmarkStart w:id="126" w:name="page127"/>
    <w:bookmarkEnd w:id="126"/>
    <w:p>
      <w:pPr>
        <w:ind w:left="2280" w:right="4880" w:hanging="2592"/>
        <w:spacing w:after="0" w:line="254" w:lineRule="auto"/>
        <w:tabs>
          <w:tab w:leader="none" w:pos="2260" w:val="left"/>
        </w:tabs>
        <w:rPr>
          <w:sz w:val="20"/>
          <w:szCs w:val="20"/>
          <w:color w:val="auto"/>
        </w:rPr>
      </w:pPr>
      <w:r>
        <w:rPr>
          <w:rFonts w:ascii="Times New Roman" w:cs="Times New Roman" w:eastAsia="Times New Roman" w:hAnsi="Times New Roman"/>
          <w:sz w:val="22"/>
          <w:szCs w:val="22"/>
          <w:color w:val="auto"/>
        </w:rPr>
        <w:t>Enrollment</w:t>
      </w:r>
      <w:r>
        <w:rPr>
          <w:sz w:val="20"/>
          <w:szCs w:val="20"/>
          <w:color w:val="auto"/>
        </w:rPr>
        <w:tab/>
      </w:r>
      <w:r>
        <w:rPr>
          <w:rFonts w:ascii="Times New Roman" w:cs="Times New Roman" w:eastAsia="Times New Roman" w:hAnsi="Times New Roman"/>
          <w:sz w:val="22"/>
          <w:szCs w:val="22"/>
          <w:color w:val="auto"/>
        </w:rPr>
        <w:t>Based on achievement of enrollment goals for assigned geography/territory/accounts</w:t>
      </w:r>
    </w:p>
    <w:p>
      <w:pPr>
        <w:spacing w:after="0" w:line="2" w:lineRule="exact"/>
        <w:rPr>
          <w:sz w:val="20"/>
          <w:szCs w:val="20"/>
          <w:color w:val="auto"/>
        </w:rPr>
      </w:pPr>
    </w:p>
    <w:p>
      <w:pPr>
        <w:ind w:left="3060" w:right="3920" w:hanging="2592"/>
        <w:spacing w:after="0" w:line="248" w:lineRule="auto"/>
        <w:tabs>
          <w:tab w:leader="none" w:pos="3040" w:val="left"/>
        </w:tabs>
        <w:rPr>
          <w:sz w:val="20"/>
          <w:szCs w:val="20"/>
          <w:color w:val="auto"/>
        </w:rPr>
      </w:pPr>
      <w:r>
        <w:rPr>
          <w:rFonts w:ascii="Times New Roman" w:cs="Times New Roman" w:eastAsia="Times New Roman" w:hAnsi="Times New Roman"/>
          <w:sz w:val="22"/>
          <w:szCs w:val="22"/>
          <w:color w:val="auto"/>
        </w:rPr>
        <w:t>Distributor Attrition Rate</w:t>
        <w:tab/>
        <w:t>Based on achievement of attrition rate goals assigned by management for assigned geography</w:t>
      </w:r>
    </w:p>
    <w:p>
      <w:pPr>
        <w:spacing w:after="0" w:line="223" w:lineRule="exact"/>
        <w:rPr>
          <w:sz w:val="20"/>
          <w:szCs w:val="20"/>
          <w:color w:val="auto"/>
        </w:rPr>
      </w:pPr>
    </w:p>
    <w:p>
      <w:pPr>
        <w:jc w:val="both"/>
        <w:ind w:firstLine="656"/>
        <w:spacing w:after="0" w:line="248" w:lineRule="auto"/>
        <w:tabs>
          <w:tab w:leader="none" w:pos="125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Metric Measurement” means, except as otherwise provided in an Award Agreement, the following potential payments for a Performance Metric based on the below degree of achievement of the Performance Metric in a Quarter. The degree of achievement of each Performance Metric shall be determined by the Committee in accordance with GAAP and/or internal Company financial reporting to the extent applicable. Each Performance Metric, and its related payment that can be earned, is measured and evaluated separately in each Quarter. The threshold level of performance in order to be eligible for a quarterly payment for a Performance Metric is 90% of Performance Expectation. However, after the Fiscal Year, the Committee may in its discretion provide for additional compensation for a Participant with respect to a Performance Metric if there was below 90% achievement of the Performance Expectation in one or more Quarters for such Performance Metric but the overall annual Performance Expectation for the Performance Metric was exceeded.</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w w:val="97"/>
              </w:rPr>
              <w:t>Degree of Achievement</w:t>
            </w:r>
          </w:p>
        </w:tc>
        <w:tc>
          <w:tcPr>
            <w:tcW w:w="364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Potential Payment for Performance Metric</w:t>
            </w:r>
          </w:p>
        </w:tc>
      </w:tr>
      <w:tr>
        <w:trPr>
          <w:trHeight w:val="20"/>
        </w:trPr>
        <w:tc>
          <w:tcPr>
            <w:tcW w:w="20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735"/>
        </w:trPr>
        <w:tc>
          <w:tcPr>
            <w:tcW w:w="5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than 90% of Performance Expectation</w:t>
            </w:r>
          </w:p>
        </w:tc>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None</w:t>
            </w:r>
          </w:p>
        </w:tc>
      </w:tr>
      <w:tr>
        <w:trPr>
          <w:trHeight w:val="702"/>
        </w:trPr>
        <w:tc>
          <w:tcPr>
            <w:tcW w:w="5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Between 90% and 100% of Performance Expectation</w:t>
            </w:r>
          </w:p>
        </w:tc>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Proportionate scaling between 30% and 100% of Target Amount</w:t>
            </w:r>
          </w:p>
        </w:tc>
      </w:tr>
      <w:tr>
        <w:trPr>
          <w:trHeight w:val="663"/>
        </w:trPr>
        <w:tc>
          <w:tcPr>
            <w:tcW w:w="5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Above 100% of performance Expectation</w:t>
            </w:r>
          </w:p>
        </w:tc>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Proportionate  scaling  such  that  for  each  Performance</w:t>
            </w:r>
          </w:p>
        </w:tc>
      </w:tr>
      <w:tr>
        <w:trPr>
          <w:trHeight w:val="243"/>
        </w:trPr>
        <w:tc>
          <w:tcPr>
            <w:tcW w:w="20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Expectation  additional  1%  achievement  over  Performance</w:t>
            </w:r>
          </w:p>
        </w:tc>
      </w:tr>
      <w:tr>
        <w:trPr>
          <w:trHeight w:val="243"/>
        </w:trPr>
        <w:tc>
          <w:tcPr>
            <w:tcW w:w="20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Expectation,  potential  payment  increases  by  4%  of  Target</w:t>
            </w:r>
          </w:p>
        </w:tc>
      </w:tr>
      <w:tr>
        <w:trPr>
          <w:trHeight w:val="283"/>
        </w:trPr>
        <w:tc>
          <w:tcPr>
            <w:tcW w:w="20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Amount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60" w:hanging="504"/>
        <w:spacing w:after="0"/>
        <w:tabs>
          <w:tab w:leader="none" w:pos="11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LifeVantage Corporation FY2016 Sales Incentive Plan as it may be amended by the Board in its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w:t>
      </w:r>
    </w:p>
    <w:p>
      <w:pPr>
        <w:spacing w:after="0" w:line="20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 means a fiscal quarter that is contained within the Fiscal Year. There are four Quarters in the Fiscal Year.</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“Relative Weight” means a percentage between 0% and 100% that is assigned to each Performance Metric in an Award Agreement to determine the relative weight of a Performance Metric. The sum of the Relative Weights in each Award shall equal 100%.</w:t>
      </w:r>
    </w:p>
    <w:p>
      <w:pPr>
        <w:spacing w:after="0" w:line="168" w:lineRule="exact"/>
        <w:rPr>
          <w:sz w:val="20"/>
          <w:szCs w:val="20"/>
          <w:color w:val="auto"/>
        </w:rPr>
      </w:pPr>
    </w:p>
    <w:p>
      <w:pPr>
        <w:ind w:firstLine="656"/>
        <w:spacing w:after="0" w:line="284" w:lineRule="auto"/>
        <w:tabs>
          <w:tab w:leader="none" w:pos="125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has the meaning provided to such term under Code Section 409A and the regulations promulgated thereunder.</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2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means uninterrupted service as an Employee. Service will be deemed terminated as soon as the entity to which Service is being provided is no longer either (i) the Company, (ii) a Parent, (iii) a Subsidiary or (iv) an Affiliate.</w:t>
      </w:r>
    </w:p>
    <w:p>
      <w:pPr>
        <w:sectPr>
          <w:pgSz w:w="11900" w:h="16838" w:orient="portrait"/>
          <w:cols w:equalWidth="0" w:num="1">
            <w:col w:w="11420"/>
          </w:cols>
          <w:pgMar w:left="240" w:top="369" w:right="239" w:bottom="1440" w:gutter="0" w:footer="0" w:header="0"/>
        </w:sectPr>
      </w:pPr>
    </w:p>
    <w:bookmarkStart w:id="127" w:name="page128"/>
    <w:bookmarkEnd w:id="127"/>
    <w:p>
      <w:pPr>
        <w:ind w:left="1180" w:hanging="524"/>
        <w:spacing w:after="0"/>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means a share of Company common stock (which has a par value of $0.001 per Share).</w:t>
      </w:r>
    </w:p>
    <w:p>
      <w:pPr>
        <w:spacing w:after="0" w:line="233"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 Employee” means a Participant who is considered a “specified employee” within the meaning of Code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w:t>
      </w:r>
    </w:p>
    <w:p>
      <w:pPr>
        <w:spacing w:after="0" w:line="20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0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Date shall be considered a Subsidiary commencing as of such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7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Amount” means, except as expressed otherwise in an Award Agreement, the following target payment amounts for the Fiscal Year for a Performance Metric,. The Target Amount would be attained, for example, if 100% of a Performance Metric’s Performance Expectation was achieved in each of the four Quarters. The below figures are for the full Fiscal Year but the Award Agreement will apportion such amounts to each Quarter (and such allocation need not be uniform between the Quarters and will be further adjusted if an Eligible Employee is not a Participant for the entire Fiscal Year).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Participant Job Level</w:t>
            </w:r>
          </w:p>
        </w:tc>
        <w:tc>
          <w:tcPr>
            <w:tcW w:w="2840" w:type="dxa"/>
            <w:vAlign w:val="bottom"/>
          </w:tcPr>
          <w:p>
            <w:pPr>
              <w:spacing w:after="0"/>
              <w:rPr>
                <w:sz w:val="22"/>
                <w:szCs w:val="22"/>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Annual Target Amount in Dollars</w:t>
            </w:r>
          </w:p>
        </w:tc>
        <w:tc>
          <w:tcPr>
            <w:tcW w:w="2420" w:type="dxa"/>
            <w:vAlign w:val="bottom"/>
          </w:tcPr>
          <w:p>
            <w:pPr>
              <w:spacing w:after="0"/>
              <w:rPr>
                <w:sz w:val="22"/>
                <w:szCs w:val="22"/>
                <w:color w:val="auto"/>
              </w:rPr>
            </w:pPr>
          </w:p>
        </w:tc>
      </w:tr>
      <w:tr>
        <w:trPr>
          <w:trHeight w:val="735"/>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Senior Vice President or above</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50% multiplied by Relative Weight multiplied by Base Salary</w:t>
            </w:r>
          </w:p>
        </w:tc>
      </w:tr>
      <w:tr>
        <w:trPr>
          <w:trHeight w:val="702"/>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Vice President</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40% multiplied by Relative Weight multiplied by Base Salary</w:t>
            </w:r>
          </w:p>
        </w:tc>
      </w:tr>
      <w:tr>
        <w:trPr>
          <w:trHeight w:val="702"/>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Director</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30% multiplied by Relative Weight multiplied by Base Salary</w:t>
            </w:r>
          </w:p>
        </w:tc>
      </w:tr>
      <w:tr>
        <w:trPr>
          <w:trHeight w:val="702"/>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Manager</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25% multiplied by Relative Weight multiplied by Base Salary</w:t>
            </w:r>
          </w:p>
        </w:tc>
      </w:tr>
      <w:tr>
        <w:trPr>
          <w:trHeight w:val="702"/>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Account Manager</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20% multiplied by Relative Weight multiplied by Base Salary</w:t>
            </w:r>
          </w:p>
        </w:tc>
      </w:tr>
      <w:tr>
        <w:trPr>
          <w:trHeight w:val="702"/>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Supervisor</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15% multiplied by Relative Weight multiplied by Base Salary</w:t>
            </w:r>
          </w:p>
        </w:tc>
      </w:tr>
      <w:tr>
        <w:trPr>
          <w:trHeight w:val="702"/>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Full Time</w:t>
            </w:r>
          </w:p>
        </w:tc>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 multiplied by Relative Weight multiplied by Base Salary</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(gg)</w:t>
      </w:r>
      <w:r>
        <w:rPr>
          <w:sz w:val="20"/>
          <w:szCs w:val="20"/>
          <w:color w:val="auto"/>
        </w:rPr>
        <w:tab/>
      </w:r>
      <w:r>
        <w:rPr>
          <w:rFonts w:ascii="Times New Roman" w:cs="Times New Roman" w:eastAsia="Times New Roman" w:hAnsi="Times New Roman"/>
          <w:sz w:val="21"/>
          <w:szCs w:val="21"/>
          <w:color w:val="auto"/>
        </w:rPr>
        <w:t>“Termination Date” means the date on which a Participant’s Service terminates.</w:t>
      </w: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37" w:lineRule="exact"/>
        <w:rPr>
          <w:sz w:val="20"/>
          <w:szCs w:val="20"/>
          <w:color w:val="auto"/>
        </w:rPr>
      </w:pPr>
    </w:p>
    <w:p>
      <w:pPr>
        <w:jc w:val="both"/>
        <w:ind w:firstLine="656"/>
        <w:spacing w:after="0" w:line="263" w:lineRule="auto"/>
        <w:tabs>
          <w:tab w:leader="none" w:pos="112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Composition</w:t>
      </w:r>
      <w:r>
        <w:rPr>
          <w:rFonts w:ascii="Times New Roman" w:cs="Times New Roman" w:eastAsia="Times New Roman" w:hAnsi="Times New Roman"/>
          <w:sz w:val="22"/>
          <w:szCs w:val="22"/>
          <w:color w:val="auto"/>
        </w:rPr>
        <w:t>. A Committee shall administer the Plan. Unless the Board or the Compensation Committee provides otherwise (which either may do in their discretion), the Company’s Chief Executive Officer shall constitute the “Committee” for</w:t>
      </w:r>
    </w:p>
    <w:p>
      <w:pPr>
        <w:sectPr>
          <w:pgSz w:w="11900" w:h="16838" w:orient="portrait"/>
          <w:cols w:equalWidth="0" w:num="1">
            <w:col w:w="11420"/>
          </w:cols>
          <w:pgMar w:left="240" w:top="369" w:right="239" w:bottom="1440" w:gutter="0" w:footer="0" w:header="0"/>
        </w:sectPr>
      </w:pPr>
    </w:p>
    <w:bookmarkStart w:id="128" w:name="page129"/>
    <w:bookmarkEnd w:id="128"/>
    <w:p>
      <w:pPr>
        <w:spacing w:after="0" w:line="271" w:lineRule="auto"/>
        <w:rPr>
          <w:sz w:val="20"/>
          <w:szCs w:val="20"/>
          <w:color w:val="auto"/>
        </w:rPr>
      </w:pPr>
      <w:r>
        <w:rPr>
          <w:rFonts w:ascii="Times New Roman" w:cs="Times New Roman" w:eastAsia="Times New Roman" w:hAnsi="Times New Roman"/>
          <w:sz w:val="22"/>
          <w:szCs w:val="22"/>
          <w:color w:val="auto"/>
        </w:rPr>
        <w:t>purposes of this Plan. The Board may also at any time terminate the functions of the Committee and reassume all powers and authority previously delegated to the Committee.</w:t>
      </w:r>
    </w:p>
    <w:p>
      <w:pPr>
        <w:spacing w:after="0" w:line="158" w:lineRule="exact"/>
        <w:rPr>
          <w:sz w:val="20"/>
          <w:szCs w:val="20"/>
          <w:color w:val="auto"/>
        </w:rPr>
      </w:pPr>
    </w:p>
    <w:p>
      <w:pPr>
        <w:jc w:val="both"/>
        <w:ind w:firstLine="656"/>
        <w:spacing w:after="0" w:line="263" w:lineRule="auto"/>
        <w:tabs>
          <w:tab w:leader="none" w:pos="12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of the Committee</w:t>
      </w:r>
      <w:r>
        <w:rPr>
          <w:rFonts w:ascii="Times New Roman" w:cs="Times New Roman" w:eastAsia="Times New Roman" w:hAnsi="Times New Roman"/>
          <w:sz w:val="22"/>
          <w:szCs w:val="22"/>
          <w:color w:val="auto"/>
        </w:rPr>
        <w:t>. Subject to the provisions of the Plan, the Committee shall have full authority and discretion to take any actions it deems necessary or advisable for the administration of the Plan. Such actions shall include without limitation:</w:t>
      </w:r>
    </w:p>
    <w:p>
      <w:pPr>
        <w:spacing w:after="0" w:line="167" w:lineRule="exact"/>
        <w:rPr>
          <w:rFonts w:ascii="Times New Roman" w:cs="Times New Roman" w:eastAsia="Times New Roman" w:hAnsi="Times New Roman"/>
          <w:sz w:val="22"/>
          <w:szCs w:val="22"/>
          <w:color w:val="auto"/>
        </w:rPr>
      </w:pPr>
    </w:p>
    <w:p>
      <w:pPr>
        <w:ind w:left="1300" w:firstLine="5"/>
        <w:spacing w:after="0" w:line="271" w:lineRule="auto"/>
        <w:tabs>
          <w:tab w:leader="none" w:pos="156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Eligible Employees who are to receive Awards under the Plan and the amount of payments provided to a Participant (if any) with respect to an Award;</w:t>
      </w:r>
    </w:p>
    <w:p>
      <w:pPr>
        <w:spacing w:after="0" w:line="157" w:lineRule="exact"/>
        <w:rPr>
          <w:rFonts w:ascii="Times New Roman" w:cs="Times New Roman" w:eastAsia="Times New Roman" w:hAnsi="Times New Roman"/>
          <w:sz w:val="22"/>
          <w:szCs w:val="22"/>
          <w:color w:val="auto"/>
        </w:rPr>
      </w:pPr>
    </w:p>
    <w:p>
      <w:pPr>
        <w:ind w:left="1300" w:firstLine="5"/>
        <w:spacing w:after="0" w:line="271" w:lineRule="auto"/>
        <w:tabs>
          <w:tab w:leader="none" w:pos="163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terms, conditions, Performance Metrics (or other objective/subjective goals (if any)) and their degree of satisfaction, and other features and conditions of such Awards, and amending such Awards;</w:t>
      </w:r>
    </w:p>
    <w:p>
      <w:pPr>
        <w:spacing w:after="0" w:line="157" w:lineRule="exact"/>
        <w:rPr>
          <w:rFonts w:ascii="Times New Roman" w:cs="Times New Roman" w:eastAsia="Times New Roman" w:hAnsi="Times New Roman"/>
          <w:sz w:val="22"/>
          <w:szCs w:val="22"/>
          <w:color w:val="auto"/>
        </w:rPr>
      </w:pPr>
    </w:p>
    <w:p>
      <w:pPr>
        <w:ind w:left="1300" w:firstLine="5"/>
        <w:spacing w:after="0" w:line="271" w:lineRule="auto"/>
        <w:tabs>
          <w:tab w:leader="none" w:pos="168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correcting any defect, supplying any omission, or reconciling or clarifying any inconsistency in the Plan or any Award Agreement;</w:t>
      </w:r>
    </w:p>
    <w:p>
      <w:pPr>
        <w:spacing w:after="0" w:line="157"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waiving restrictions of Awards at any time and under such terms and conditions as it deems appropriate;</w:t>
      </w:r>
    </w:p>
    <w:p>
      <w:pPr>
        <w:spacing w:after="0" w:line="219" w:lineRule="exact"/>
        <w:rPr>
          <w:rFonts w:ascii="Times New Roman" w:cs="Times New Roman" w:eastAsia="Times New Roman" w:hAnsi="Times New Roman"/>
          <w:sz w:val="22"/>
          <w:szCs w:val="22"/>
          <w:color w:val="auto"/>
        </w:rPr>
      </w:pPr>
    </w:p>
    <w:p>
      <w:pPr>
        <w:ind w:left="1300" w:firstLine="5"/>
        <w:spacing w:after="0" w:line="271" w:lineRule="auto"/>
        <w:tabs>
          <w:tab w:leader="none" w:pos="164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interpreting any extenuating circumstances and modifying the Plan or Award Agreement in its discretion as needed;</w:t>
      </w:r>
    </w:p>
    <w:p>
      <w:pPr>
        <w:spacing w:after="0" w:line="157"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accepting or canceling an order or discontinuing service to a customer;</w:t>
      </w:r>
    </w:p>
    <w:p>
      <w:pPr>
        <w:spacing w:after="0" w:line="21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disallowing sales that are determined not to be in the normal course of business;</w:t>
      </w:r>
    </w:p>
    <w:p>
      <w:pPr>
        <w:spacing w:after="0" w:line="219"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interpreting the Plan and any Award Agreements;</w:t>
      </w:r>
    </w:p>
    <w:p>
      <w:pPr>
        <w:spacing w:after="0" w:line="219" w:lineRule="exact"/>
        <w:rPr>
          <w:rFonts w:ascii="Times New Roman" w:cs="Times New Roman" w:eastAsia="Times New Roman" w:hAnsi="Times New Roman"/>
          <w:sz w:val="22"/>
          <w:szCs w:val="22"/>
          <w:color w:val="auto"/>
        </w:rPr>
      </w:pPr>
    </w:p>
    <w:p>
      <w:pPr>
        <w:ind w:left="1300" w:firstLine="5"/>
        <w:spacing w:after="0" w:line="271" w:lineRule="auto"/>
        <w:tabs>
          <w:tab w:leader="none" w:pos="168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such modifications to the Plan as are necessary to effectuate the intent of the Plan as a result of any changes in applicable laws or accounting treatment;</w:t>
      </w:r>
    </w:p>
    <w:p>
      <w:pPr>
        <w:spacing w:after="0" w:line="157" w:lineRule="exact"/>
        <w:rPr>
          <w:rFonts w:ascii="Times New Roman" w:cs="Times New Roman" w:eastAsia="Times New Roman" w:hAnsi="Times New Roman"/>
          <w:sz w:val="22"/>
          <w:szCs w:val="22"/>
          <w:color w:val="auto"/>
        </w:rPr>
      </w:pPr>
    </w:p>
    <w:p>
      <w:pPr>
        <w:jc w:val="both"/>
        <w:ind w:left="1300" w:firstLine="5"/>
        <w:spacing w:after="0" w:line="275" w:lineRule="auto"/>
        <w:tabs>
          <w:tab w:leader="none" w:pos="1615"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modifying, amending or revoking the Plan, or discontinuing (either temporarily or permanently) the distribution of any payment at any time and for any reason and making appropriate adjustments to sales or compensation targets due to favorable or unfavorable events unrelated to a Participant’s efforts of performance; and</w:t>
      </w:r>
    </w:p>
    <w:p>
      <w:pPr>
        <w:spacing w:after="0" w:line="155" w:lineRule="exact"/>
        <w:rPr>
          <w:rFonts w:ascii="Times New Roman" w:cs="Times New Roman" w:eastAsia="Times New Roman" w:hAnsi="Times New Roman"/>
          <w:sz w:val="21"/>
          <w:szCs w:val="21"/>
          <w:color w:val="auto"/>
        </w:rPr>
      </w:pPr>
    </w:p>
    <w:p>
      <w:pPr>
        <w:ind w:left="1680" w:hanging="375"/>
        <w:spacing w:after="0"/>
        <w:tabs>
          <w:tab w:leader="none" w:pos="16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all other decisions relating to the operation of the Plan;</w:t>
      </w:r>
    </w:p>
    <w:p>
      <w:pPr>
        <w:spacing w:after="0" w:line="219" w:lineRule="exact"/>
        <w:rPr>
          <w:rFonts w:ascii="Times New Roman" w:cs="Times New Roman" w:eastAsia="Times New Roman" w:hAnsi="Times New Roman"/>
          <w:sz w:val="22"/>
          <w:szCs w:val="22"/>
          <w:color w:val="auto"/>
        </w:rPr>
      </w:pPr>
    </w:p>
    <w:p>
      <w:pPr>
        <w:jc w:val="both"/>
        <w:ind w:left="1300" w:firstLine="5"/>
        <w:spacing w:after="0" w:line="250" w:lineRule="auto"/>
        <w:tabs>
          <w:tab w:leader="none" w:pos="173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granting Awards to Eligible Employees who are foreign nationals on such terms and conditions different from those specified in the Plan, which may be necessary or desirable to foster and promote achievement of the purposes of the Plan, and adopting such modifications, procedures, and/or subplans (with any such subplans attached as appendices to the Plan) and the like as may be necessary or desirable to comply with provisions of the laws or regulations of other countries or jurisdictions</w:t>
      </w:r>
    </w:p>
    <w:p>
      <w:pPr>
        <w:sectPr>
          <w:pgSz w:w="11900" w:h="16838" w:orient="portrait"/>
          <w:cols w:equalWidth="0" w:num="1">
            <w:col w:w="11420"/>
          </w:cols>
          <w:pgMar w:left="240" w:top="369" w:right="239" w:bottom="1440" w:gutter="0" w:footer="0" w:header="0"/>
        </w:sectPr>
      </w:pPr>
    </w:p>
    <w:bookmarkStart w:id="129" w:name="page130"/>
    <w:bookmarkEnd w:id="129"/>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to ensure the viability of the benefits from Awards granted to Participants employed in such countries or jurisdictions, or to meet the requirements that permit the Plan to operate in a qualified or tax efficient manner, and/or comply with applicable foreign laws or regulations.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Committee may adopt such rules or guidelines, as it deems appropriate to implement the Plan. The Committee’s determinations under the Plan shall be final, conclusive and binding on all persons. The Committee’s decisions and determinations need not be uniform and may be made selectively among Participants in the Committee’s sole discretion. The Committee’s decisions and determinations will be afforded the maximum deference provided by applicable law.</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shall effect the granting of Awards under the Plan in accordance with the determinations made by the Committee, by execution of instruments in writing in such form as approved by the Committee.</w:t>
      </w:r>
    </w:p>
    <w:p>
      <w:pPr>
        <w:spacing w:after="0" w:line="158" w:lineRule="exact"/>
        <w:rPr>
          <w:sz w:val="20"/>
          <w:szCs w:val="20"/>
          <w:color w:val="auto"/>
        </w:rPr>
      </w:pPr>
    </w:p>
    <w:p>
      <w:pPr>
        <w:jc w:val="both"/>
        <w:ind w:firstLine="656"/>
        <w:spacing w:after="0" w:line="247" w:lineRule="auto"/>
        <w:tabs>
          <w:tab w:leader="none" w:pos="10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maximum extent permitted by applicable law, each member of the Committee, or of the Board, or any persons (including without limitation Employees and officers) who are delegated by the Board or Committee to perform administrative functions in connection with the Plan,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by contract, as a matter of law, or otherwise, or under any power that the Company may have to indemnify them or hold them harmless.</w:t>
      </w:r>
    </w:p>
    <w:p>
      <w:pPr>
        <w:spacing w:after="0" w:line="18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37"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Eligibility</w:t>
      </w:r>
      <w:r>
        <w:rPr>
          <w:rFonts w:ascii="Times New Roman" w:cs="Times New Roman" w:eastAsia="Times New Roman" w:hAnsi="Times New Roman"/>
          <w:sz w:val="22"/>
          <w:szCs w:val="22"/>
          <w:color w:val="auto"/>
        </w:rPr>
        <w:t>. Only Eligible Employees shall be eligible for designation as Participants.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A Participant shall have no rights as a shareholder with respect to any Award.</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2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Except as otherwise provided in this Plan or in the applicable Award Agreement, a Participant’s outstanding Award shall terminate without consideration upon termination of such Participant’s Service.</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Notwithstanding anything in the Plan to the contrary, the Plan and Awards granted hereunder are intended to be exempt from the requirements of Code Section 409A and shall be interpreted in a manner consistent with such intention. In the event that any provision of the Plan or an Award Agreement is determined by the Committee to not comply with the applicable requirements of Code Section 409A or the</w:t>
      </w:r>
    </w:p>
    <w:p>
      <w:pPr>
        <w:sectPr>
          <w:pgSz w:w="11900" w:h="16838" w:orient="portrait"/>
          <w:cols w:equalWidth="0" w:num="1">
            <w:col w:w="11420"/>
          </w:cols>
          <w:pgMar w:left="240" w:top="369" w:right="239" w:bottom="1440" w:gutter="0" w:footer="0" w:header="0"/>
        </w:sectPr>
      </w:pPr>
    </w:p>
    <w:bookmarkStart w:id="130" w:name="page131"/>
    <w:bookmarkEnd w:id="130"/>
    <w:p>
      <w:pPr>
        <w:jc w:val="both"/>
        <w:spacing w:after="0" w:line="252" w:lineRule="auto"/>
        <w:rPr>
          <w:sz w:val="20"/>
          <w:szCs w:val="20"/>
          <w:color w:val="auto"/>
        </w:rPr>
      </w:pPr>
      <w:r>
        <w:rPr>
          <w:rFonts w:ascii="Times New Roman" w:cs="Times New Roman" w:eastAsia="Times New Roman" w:hAnsi="Times New Roman"/>
          <w:sz w:val="22"/>
          <w:szCs w:val="22"/>
          <w:color w:val="auto"/>
        </w:rPr>
        <w:t>applicable regulations and other guidance issued thereunder, the Committee shall have the authority to take such actions and to make such changes to the Plan or an Award Agreement as the Committee deems necessary to comply with such requirements. Any payment made pursuant to any Award shall be considered a separate payment and not one of a series of payments for purposes of Code Section 409A.</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or anything elsewhere in the Plan or an Award Agreement to the contrary, if upon a Participant’s Separation From Service he/she is then a Specified Employee, then solely to the extent necessary to comply with Code Section 409A and avoid the imposition of taxes under Code Section 409A, the Company shall defer payment of “nonqualified deferred compensation” subject to Code Section 409A payable as a result of and within six (6) months following such Separation From Service under this Plan until the earlier of (i) the first business day of the seventh month following the Participant’s Separation From Service, or (ii) ten (10) days after the Company receives written confirmation of the Participant’s death. Any such delayed payments shall be made without interest.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While it is intended that all payments and benefits provided under the Plan or an Award will be exempt from (or comply with) Code Section 409A, the Company makes no representation or covenant to ensure that the payments under the Plan or an Award are exempt from or compliant with Code Section 409A. In no event whatsoever shall the Company be liable if a payment or benefit under the Plan or an Award is challenged by any taxing authority or for any additional tax, interest or penalties that may be imposed on a Participant by Code Section 409A or any damages for failing to comply with Code Section 409A. The Participant will be entirely responsible for any and all taxes on any benefits payable to such Participant as a result of the Plan or an Award.</w:t>
      </w:r>
    </w:p>
    <w:p>
      <w:pPr>
        <w:spacing w:after="0" w:line="168" w:lineRule="exact"/>
        <w:rPr>
          <w:sz w:val="20"/>
          <w:szCs w:val="20"/>
          <w:color w:val="auto"/>
        </w:rPr>
      </w:pPr>
    </w:p>
    <w:p>
      <w:pPr>
        <w:jc w:val="both"/>
        <w:ind w:right="20" w:firstLine="656"/>
        <w:spacing w:after="0" w:line="263" w:lineRule="auto"/>
        <w:tabs>
          <w:tab w:leader="none" w:pos="114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Subject to compliance with applicable law and/or regulations, an Award Agreement or other documentation or notices relating to the Plan and/or Awards may be communicated to Participants (and executed by Participants) by electronic media.</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Plan shall be unfunded. Although bookkeeping accounts may be established with respect to Participants who are granted Awards under this Plan, any such accounts will be used merely as a bookkeeping convenience. The Company shall not be required to segregate any assets which may at any time be represented by Awards, nor shall this Plan be construed as providing for such segregation, nor shall the Company or the Board or Committee be deemed to be a trustee of cash to be awarded under the Plan.</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13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of Company</w:t>
      </w:r>
      <w:r>
        <w:rPr>
          <w:rFonts w:ascii="Times New Roman" w:cs="Times New Roman" w:eastAsia="Times New Roman" w:hAnsi="Times New Roman"/>
          <w:sz w:val="22"/>
          <w:szCs w:val="22"/>
          <w:color w:val="auto"/>
        </w:rPr>
        <w:t>. The Company (or members of the Board or Committee) shall not be liable to a Participant or other persons as to any unexpected or adverse tax consequence or any tax consequence expected, but not realized, by any Participant or other person due to the grant, receipt, or settlement of any Award granted hereunder.</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In the event any provision of this Plan shall be held illegal or invalid for any reason, such provisions will be reformed by the Board if possible and to the extent needed in order to be held legal and valid. If it is not possible to reform the illegal or invalid provisions then the illegality or invalidity shall not affect the remaining parts of</w:t>
      </w:r>
    </w:p>
    <w:p>
      <w:pPr>
        <w:sectPr>
          <w:pgSz w:w="11900" w:h="16838" w:orient="portrait"/>
          <w:cols w:equalWidth="0" w:num="1">
            <w:col w:w="11420"/>
          </w:cols>
          <w:pgMar w:left="240" w:top="369"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this Plan, and this Plan shall be construed and enforced as if the illegal or invalid provision had not been included.</w:t>
      </w:r>
    </w:p>
    <w:p>
      <w:pPr>
        <w:spacing w:after="0" w:line="220" w:lineRule="exact"/>
        <w:rPr>
          <w:sz w:val="20"/>
          <w:szCs w:val="20"/>
          <w:color w:val="auto"/>
        </w:rPr>
      </w:pPr>
    </w:p>
    <w:p>
      <w:pPr>
        <w:jc w:val="both"/>
        <w:ind w:firstLine="656"/>
        <w:spacing w:after="0" w:line="263" w:lineRule="auto"/>
        <w:tabs>
          <w:tab w:leader="none" w:pos="108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Provision</w:t>
      </w:r>
      <w:r>
        <w:rPr>
          <w:rFonts w:ascii="Times New Roman" w:cs="Times New Roman" w:eastAsia="Times New Roman" w:hAnsi="Times New Roman"/>
          <w:sz w:val="22"/>
          <w:szCs w:val="22"/>
          <w:color w:val="auto"/>
        </w:rPr>
        <w:t>. Any reference to a statute, rule or regulation, or to a section of a statute, rule or regulation, is a reference to that statute, rule, regulation, or section as amended from time to time, both before and after the Adoption Date and including any successor provisions.</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07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Plan and (unless otherwise provided in the Award Agreement) all Awards shall be construed in accordance with and governed by the laws of the State of Utah, but without regard to its conflict of law provisions. The Committee may provide that any dispute as to any Award shall be presented and determined in such forum as the Committee may specify, including through binding arbitration. Unless otherwise provided in the Award Agreement, recipients of an Award under the Plan are deemed to submit to the exclusive jurisdiction and venue of the federal or state courts of Utah to resolve any and all issues that may arise out of or relate to the Plan or any related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or Transfer of Awards</w:t>
      </w:r>
      <w:r>
        <w:rPr>
          <w:rFonts w:ascii="Times New Roman" w:cs="Times New Roman" w:eastAsia="Times New Roman" w:hAnsi="Times New Roman"/>
          <w:sz w:val="22"/>
          <w:szCs w:val="22"/>
          <w:color w:val="auto"/>
        </w:rPr>
        <w:t>. No Award shall be transferable by the Participant. No Award or interest therein may be transferred, assigned, pledged or hypothecated by the Participant during his or her lifetime, whether by operation of law or otherwise, nor may an Award be anticipated, assigned, attached, garnished, optioned, transferred or made subject to any creditor’s process, whether voluntarily, involuntarily or by operation of law, nor may an Award be made subject to execution, attachment or similar process. Any act in violation of this Section 4(k) shall be null and void.</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Rights</w:t>
      </w:r>
      <w:r>
        <w:rPr>
          <w:rFonts w:ascii="Times New Roman" w:cs="Times New Roman" w:eastAsia="Times New Roman" w:hAnsi="Times New Roman"/>
          <w:sz w:val="22"/>
          <w:szCs w:val="22"/>
          <w:color w:val="auto"/>
        </w:rPr>
        <w:t>. The Company reserves the right at any time to assign accounts, or remove accounts, or to accept or reject orders from customers, and to refrain from paying incentive on draw fees the Company receives, freight charges to customers or with respect to similar or dissimilar transactions. The Company further reserves the right to adjust quotas under the Plan as it deems appropriate. .</w:t>
      </w:r>
    </w:p>
    <w:p>
      <w:pPr>
        <w:spacing w:after="0" w:line="16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TERMS AND CONDITIONS OF AWARDS.</w:t>
      </w:r>
    </w:p>
    <w:p>
      <w:pPr>
        <w:spacing w:after="0" w:line="237" w:lineRule="exact"/>
        <w:rPr>
          <w:sz w:val="20"/>
          <w:szCs w:val="20"/>
          <w:color w:val="auto"/>
        </w:rPr>
      </w:pPr>
    </w:p>
    <w:p>
      <w:pPr>
        <w:jc w:val="both"/>
        <w:ind w:firstLine="656"/>
        <w:spacing w:after="0" w:line="257" w:lineRule="auto"/>
        <w:tabs>
          <w:tab w:leader="none" w:pos="119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grant of an Award under the Plan shall be evidenced by an executed Award Agreement between the Participant and the Company. Such Award shall be subject to all applicable terms of the Plan and may be subject to any other terms that are not inconsistent with the Plan. The provisions of the various Award Agreements entered into under the Plan need not be identical.</w:t>
      </w:r>
    </w:p>
    <w:p>
      <w:pPr>
        <w:spacing w:after="0" w:line="172" w:lineRule="exact"/>
        <w:rPr>
          <w:rFonts w:ascii="Times New Roman" w:cs="Times New Roman" w:eastAsia="Times New Roman" w:hAnsi="Times New Roman"/>
          <w:sz w:val="22"/>
          <w:szCs w:val="22"/>
          <w:color w:val="auto"/>
        </w:rPr>
      </w:pPr>
    </w:p>
    <w:p>
      <w:pPr>
        <w:jc w:val="both"/>
        <w:ind w:firstLine="656"/>
        <w:spacing w:after="0" w:line="249" w:lineRule="auto"/>
        <w:tabs>
          <w:tab w:leader="none" w:pos="11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for Payments</w:t>
      </w:r>
      <w:r>
        <w:rPr>
          <w:rFonts w:ascii="Times New Roman" w:cs="Times New Roman" w:eastAsia="Times New Roman" w:hAnsi="Times New Roman"/>
          <w:sz w:val="22"/>
          <w:szCs w:val="22"/>
          <w:color w:val="auto"/>
        </w:rPr>
        <w:t>. An individual must generally be a Participant on the date of any Award payment in order to receive such payment. However, the Committee may in its discretion provide a Participant, whose Termination Date preceded the date of payment for a Performance Metric(s), with a pro-rated payment (based on the amount of time in the Quarter(s) that the Participant was providing Service) if such Participant was terminated for any reason other than by the Company for Cause and if the threshold for the Performance Metric(s) was exceeded. Similarly, if a Participant’s job level or position changes during a Quarter then the Committee shall address such circumstance on a case-by-case basis and the Committee may in its discretion determine that the Participant continues to be eligible for certain payments under this Plan if threshold performance for a Performance Metric(s) in the applicable Quarter was exceeded.</w:t>
      </w:r>
    </w:p>
    <w:p>
      <w:pPr>
        <w:sectPr>
          <w:pgSz w:w="11900" w:h="16838" w:orient="portrait"/>
          <w:cols w:equalWidth="0" w:num="1">
            <w:col w:w="11420"/>
          </w:cols>
          <w:pgMar w:left="240" w:top="369" w:right="239" w:bottom="1440" w:gutter="0" w:footer="0" w:header="0"/>
        </w:sectPr>
      </w:pPr>
    </w:p>
    <w:bookmarkStart w:id="132" w:name="page133"/>
    <w:bookmarkEnd w:id="132"/>
    <w:p>
      <w:pPr>
        <w:jc w:val="both"/>
        <w:ind w:firstLine="656"/>
        <w:spacing w:after="0" w:line="250" w:lineRule="auto"/>
        <w:tabs>
          <w:tab w:leader="none" w:pos="112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Time of Settlement of Awards</w:t>
      </w:r>
      <w:r>
        <w:rPr>
          <w:rFonts w:ascii="Times New Roman" w:cs="Times New Roman" w:eastAsia="Times New Roman" w:hAnsi="Times New Roman"/>
          <w:sz w:val="22"/>
          <w:szCs w:val="22"/>
          <w:color w:val="auto"/>
        </w:rPr>
        <w:t>. Payment of any Performance Bonuses shall be made solely in the form of cash and in the time frames set forth in this section. Performance Bonuses for Awards covering the first three Quarters of the Fiscal Year shall be paid out to Participants within 45 days after the end of the Quarter. Performance Bonuses for Awards covering the last Quarter of the Fiscal Year shall be paid out to Participants during the first 2.5 months after the end of the Fiscal Year. Notwithstanding the foregoing, all Performance Bonus payments will be made earlier upon the consummation of a Change in Control (and performance will be measured by the Committee on a pro-rated basis for the Quarter in which the Change in Control occurred).</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13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Creditors’ Rights</w:t>
      </w:r>
      <w:r>
        <w:rPr>
          <w:rFonts w:ascii="Times New Roman" w:cs="Times New Roman" w:eastAsia="Times New Roman" w:hAnsi="Times New Roman"/>
          <w:sz w:val="22"/>
          <w:szCs w:val="22"/>
          <w:color w:val="auto"/>
        </w:rPr>
        <w:t>. A holder of an Award shall have no rights other than those of a general creditor of the Company. Awards represent an unfunded and unsecured obligation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ADJUSTMENTS.</w:t>
      </w:r>
    </w:p>
    <w:p>
      <w:pPr>
        <w:spacing w:after="0" w:line="2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Notwithstanding satisfaction of any Performance Metric(s), the value of a Participant’s Award or Performance Bonus or any other benefits granted, issued, retainable, vested and/or to be paid under an Award on account of satisfaction of such Performance Metrics may be reduced by the Committee on the basis of such further considerations as the Committee in its sole discretion shall determine. In other words, this Plan is a discretionary plan and a Participant has no rights to any payment and has not earned any payment under this Plan unless and until the Company has actually provided the Participant with the applicable payment.</w:t>
      </w:r>
    </w:p>
    <w:p>
      <w:pPr>
        <w:spacing w:after="0" w:line="16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LIMITATIONS ON RIGHTS.</w:t>
      </w:r>
    </w:p>
    <w:p>
      <w:pPr>
        <w:spacing w:after="0" w:line="237" w:lineRule="exact"/>
        <w:rPr>
          <w:sz w:val="20"/>
          <w:szCs w:val="20"/>
          <w:color w:val="auto"/>
        </w:rPr>
      </w:pPr>
    </w:p>
    <w:p>
      <w:pPr>
        <w:jc w:val="both"/>
        <w:ind w:firstLine="656"/>
        <w:spacing w:after="0" w:line="257" w:lineRule="auto"/>
        <w:tabs>
          <w:tab w:leader="none" w:pos="106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Rights</w:t>
      </w:r>
      <w:r>
        <w:rPr>
          <w:rFonts w:ascii="Times New Roman" w:cs="Times New Roman" w:eastAsia="Times New Roman" w:hAnsi="Times New Roman"/>
          <w:sz w:val="22"/>
          <w:szCs w:val="22"/>
          <w:color w:val="auto"/>
        </w:rPr>
        <w:t>. Neither the Plan nor any Award granted under the Plan shall be deemed to give any individual a right to remain in Service or to continued participation in the Plan. The Company and its Parents and Subsidiaries and Affiliates reserve the right to terminate the Service of any person at any time, and for any reason, subject to applicable laws, the Company’s Articles of Incorporation and Bylaws, and a written employment agreement (if any).</w:t>
      </w:r>
    </w:p>
    <w:p>
      <w:pPr>
        <w:spacing w:after="0" w:line="172" w:lineRule="exact"/>
        <w:rPr>
          <w:rFonts w:ascii="Times New Roman" w:cs="Times New Roman" w:eastAsia="Times New Roman" w:hAnsi="Times New Roman"/>
          <w:sz w:val="22"/>
          <w:szCs w:val="22"/>
          <w:color w:val="auto"/>
        </w:rPr>
      </w:pPr>
    </w:p>
    <w:p>
      <w:pPr>
        <w:jc w:val="both"/>
        <w:ind w:firstLine="656"/>
        <w:spacing w:after="0" w:line="247" w:lineRule="auto"/>
        <w:tabs>
          <w:tab w:leader="none" w:pos="110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Company Benefit and Compensation Programs</w:t>
      </w:r>
      <w:r>
        <w:rPr>
          <w:rFonts w:ascii="Times New Roman" w:cs="Times New Roman" w:eastAsia="Times New Roman" w:hAnsi="Times New Roman"/>
          <w:sz w:val="22"/>
          <w:szCs w:val="22"/>
          <w:color w:val="auto"/>
        </w:rPr>
        <w:t>. Payments and other benefits received by a Participant under an Award made pursuant to the Plan shall not be deemed a part of a Participant’s regular, recurring compensation for purposes of the termination indemnity or severance pay law of any state. Furthermore, such benefits shall not be included in, nor have any effect on, the determination of benefits under any other employee benefit plan or similar arrangement provided by the Company or a Subsidiary or Affiliate unless expressly so provided by such other plan or arrangement, or except where the Committee expressly determines that inclusion of an Award or portion of an Award should be included. Awards under the Plan may be made in combination with or in addition to, or as alternatives to, grants, awards or payments under any other Company or Subsidiary or Affiliate plans. The Company or any Subsidiary or any Affiliate may adopt such other compensation programs and additional compensation arrangements (in addition to this Plan) as it deems necessary to attract, retain, and motivate officers, directors, employees or</w:t>
      </w:r>
    </w:p>
    <w:p>
      <w:pPr>
        <w:sectPr>
          <w:pgSz w:w="11900" w:h="16838" w:orient="portrait"/>
          <w:cols w:equalWidth="0" w:num="1">
            <w:col w:w="11420"/>
          </w:cols>
          <w:pgMar w:left="240" w:top="369"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independent contractors for their service with the Company and its Subsidiaries and its Affiliates.</w:t>
      </w:r>
    </w:p>
    <w:p>
      <w:pPr>
        <w:spacing w:after="0" w:line="220" w:lineRule="exact"/>
        <w:rPr>
          <w:sz w:val="20"/>
          <w:szCs w:val="20"/>
          <w:color w:val="auto"/>
        </w:rPr>
      </w:pPr>
    </w:p>
    <w:p>
      <w:pPr>
        <w:jc w:val="both"/>
        <w:ind w:firstLine="656"/>
        <w:spacing w:after="0" w:line="248" w:lineRule="auto"/>
        <w:tabs>
          <w:tab w:leader="none" w:pos="106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Company may (i) cause the cancellation of any Award, (ii) require reimbursement of any Award by a Participant and (iii) effect any other right of recoupment of equity or other compensation provided under this Plan or otherwise in accordance with Company policies as may be adopted and/or modified from time to time by the Company and/or applicable law (each, a “Clawback Policy”). In addition, a Participant may be required to repay to the Company certain previously paid compensation, whether provided under this Plan or an Award Agreement or otherwise, in accordance with the Clawback Policy. By accepting an Award, a Participant is also agreeing to be bound by the Company’s Clawback Policy which may be amended from time to time by the Company in its discretion (including without limitation to comply with applicable laws or stock exchange requirements) and is further agreeing that all of the Participant’s Awards may be unilaterally amended by the Company to the extent needed to comply with the Clawback Policy.</w:t>
      </w:r>
    </w:p>
    <w:p>
      <w:pPr>
        <w:spacing w:after="0" w:line="18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Participant shall make arrangements satisfactory to the Company for the satisfaction of any withholding tax obligations (including without limitation federal, state, local and foreign taxes) that arise in connection with his or her Award. The Company shall not be required to make any payment under the Plan until such obligations are fully satisfied and the Company shall, to the maximum extent permitted by law, have the right to deduct any such taxes from any payment of any kind otherwise due to the Participant.</w:t>
      </w:r>
    </w:p>
    <w:p>
      <w:pPr>
        <w:spacing w:after="0" w:line="17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DURATION AND AMENDMENTS.</w:t>
      </w:r>
    </w:p>
    <w:p>
      <w:pPr>
        <w:spacing w:after="0" w:line="237" w:lineRule="exact"/>
        <w:rPr>
          <w:sz w:val="20"/>
          <w:szCs w:val="20"/>
          <w:color w:val="auto"/>
        </w:rPr>
      </w:pPr>
    </w:p>
    <w:p>
      <w:pPr>
        <w:jc w:val="both"/>
        <w:ind w:firstLine="656"/>
        <w:spacing w:after="0" w:line="253" w:lineRule="auto"/>
        <w:tabs>
          <w:tab w:leader="none" w:pos="110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the Plan</w:t>
      </w:r>
      <w:r>
        <w:rPr>
          <w:rFonts w:ascii="Times New Roman" w:cs="Times New Roman" w:eastAsia="Times New Roman" w:hAnsi="Times New Roman"/>
          <w:sz w:val="22"/>
          <w:szCs w:val="22"/>
          <w:color w:val="auto"/>
        </w:rPr>
        <w:t>. The Plan is effective on July 1, 2016 and may be terminated by the Board on any date pursuant to Section 10(b). No further Awards may be granted after the earlier of the Board’s termination of the Plan under Section 10(b), the date of a Change in Control, or June 30, 2017. This Plan will terminate after the Company has provided all payments (if any) to Participants. This Plan will not in any way affect outstanding awards that were issued under any other Company compensation plans.</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Amend or Terminate the Plan</w:t>
      </w:r>
      <w:r>
        <w:rPr>
          <w:rFonts w:ascii="Times New Roman" w:cs="Times New Roman" w:eastAsia="Times New Roman" w:hAnsi="Times New Roman"/>
          <w:sz w:val="22"/>
          <w:szCs w:val="22"/>
          <w:color w:val="auto"/>
        </w:rPr>
        <w:t>. The Board may amend or terminate the Plan or any outstanding Awards at any time and for any reason. In the event of any conflict in terms between the Plan and any Award Agreement, the terms of the Plan shall prevail and govern.</w:t>
      </w:r>
    </w:p>
    <w:p>
      <w:pPr>
        <w:spacing w:after="0" w:line="16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EXECUTION.</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record the adoption of this Plan by the Board, the Company has caused its duly authorized officer to execute this Plan on behalf of the Company.</w:t>
      </w:r>
    </w:p>
    <w:p>
      <w:pPr>
        <w:spacing w:after="0" w:line="1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LIFEVANTAGE CORPORATION</w:t>
      </w:r>
    </w:p>
    <w:p>
      <w:pPr>
        <w:spacing w:after="0" w:line="264"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Darren Jensen</w:t>
      </w:r>
    </w:p>
    <w:p>
      <w:pPr>
        <w:spacing w:after="0" w:line="28"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CEO</w:t>
      </w:r>
    </w:p>
    <w:p>
      <w:pPr>
        <w:sectPr>
          <w:pgSz w:w="11900" w:h="16838" w:orient="portrait"/>
          <w:cols w:equalWidth="0" w:num="1">
            <w:col w:w="11420"/>
          </w:cols>
          <w:pgMar w:left="240" w:top="369" w:right="239" w:bottom="1440" w:gutter="0" w:footer="0" w:header="0"/>
        </w:sectPr>
      </w:pPr>
    </w:p>
    <w:bookmarkStart w:id="134" w:name="page135"/>
    <w:bookmarkEnd w:id="134"/>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CORPORATION CASH SETTLED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BASED LONG TERM INCENTIVE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UNIT AGREEMENT – FY2017 THROUGH FY2019</w:t>
      </w:r>
    </w:p>
    <w:p>
      <w:pPr>
        <w:spacing w:after="0" w:line="22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The Company hereby awards Performance Units to the Participant named below. The terms and conditions of the Award are set forth in this cover sheet, in the attached Performance Unit Agreement and in the Corporation Cash Settled Performance Based Long Term Incentive Plan as it may be amended from time to time (the “Plan”). This cover sheet is incorporated into and a part of the attached Performance Unit Agreement (together, the “Agreement”).</w:t>
      </w:r>
    </w:p>
    <w:p>
      <w:pPr>
        <w:spacing w:after="0" w:line="22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Date of Award:</w:t>
      </w:r>
      <w:r>
        <w:rPr>
          <w:sz w:val="20"/>
          <w:szCs w:val="20"/>
          <w:color w:val="auto"/>
        </w:rPr>
        <w:tab/>
      </w:r>
      <w:r>
        <w:rPr>
          <w:rFonts w:ascii="Times New Roman" w:cs="Times New Roman" w:eastAsia="Times New Roman" w:hAnsi="Times New Roman"/>
          <w:sz w:val="21"/>
          <w:szCs w:val="21"/>
          <w:color w:val="auto"/>
        </w:rPr>
        <w:t>July 1, 2016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Participant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-13970</wp:posOffset>
            </wp:positionV>
            <wp:extent cx="137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Number of Performance Units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2613025</wp:posOffset>
            </wp:positionH>
            <wp:positionV relativeFrom="paragraph">
              <wp:posOffset>-13970</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Number of Performance Units Achievable: [120% of target award]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Performance Units Consist of Following Three Groupings: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Performance Units Fiscal Year 2017: [1/3 of above target rounded to whole number]. Maximum Number of Performance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Achievable: [FY17 target X 120%]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Performance Units Fiscal Year 2018: [1/3 of above target rounded to whole number]. Maximum Number of Performance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Achievable: [FY18 target X 120%]</w:t>
      </w:r>
    </w:p>
    <w:p>
      <w:pPr>
        <w:spacing w:after="0" w:line="1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Target</w:t>
        <w:tab/>
        <w:t>Performance Units Fiscal Year 2019: [1/3 of above target rounded to whole number]. Maximum Number of Performance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Achievable: [FY19 target X 120%]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b w:val="1"/>
          <w:bCs w:val="1"/>
          <w:i w:val="1"/>
          <w:iCs w:val="1"/>
          <w:color w:val="auto"/>
        </w:rPr>
        <w:t>By signing this cover sheet, you agree to all of the terms and conditions described in the Agreement and in the Plan.</w:t>
      </w:r>
    </w:p>
    <w:p>
      <w:pPr>
        <w:spacing w:after="0" w:line="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i w:val="1"/>
          <w:iCs w:val="1"/>
          <w:color w:val="auto"/>
        </w:rPr>
        <w:t>You are also acknowledging receipt of this Agreement and a copy of the Plan.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137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-13970</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37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Attachment</w:t>
      </w:r>
    </w:p>
    <w:p>
      <w:pPr>
        <w:sectPr>
          <w:pgSz w:w="11900" w:h="16838" w:orient="portrait"/>
          <w:cols w:equalWidth="0" w:num="1">
            <w:col w:w="11420"/>
          </w:cols>
          <w:pgMar w:left="240" w:top="365" w:right="23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CORPORATION CASH SETTLED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BASED LONG TERM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UNIT AGREEMENT</w:t>
      </w:r>
    </w:p>
    <w:p>
      <w:pPr>
        <w:sectPr>
          <w:pgSz w:w="11900" w:h="16838" w:orient="portrait"/>
          <w:cols w:equalWidth="0" w:num="1">
            <w:col w:w="9019"/>
          </w:cols>
          <w:pgMar w:left="1440" w:top="365" w:right="1440" w:bottom="1440" w:gutter="0" w:footer="0" w:header="0"/>
        </w:sectPr>
      </w:pPr>
    </w:p>
    <w:bookmarkStart w:id="136" w:name="page137"/>
    <w:bookmarkEnd w:id="136"/>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The Plan and Other Agreements</w:t>
      </w:r>
    </w:p>
    <w:p>
      <w:pPr>
        <w:spacing w:after="0" w:line="20" w:lineRule="exact"/>
        <w:rPr>
          <w:sz w:val="20"/>
          <w:szCs w:val="20"/>
          <w:color w:val="auto"/>
        </w:rPr>
      </w:pPr>
      <w:r>
        <w:rPr>
          <w:sz w:val="20"/>
          <w:szCs w:val="20"/>
          <w:color w:val="auto"/>
        </w:rPr>
        <w:br w:type="column"/>
      </w:r>
    </w:p>
    <w:p>
      <w:pPr>
        <w:ind w:right="120"/>
        <w:spacing w:after="0" w:line="238" w:lineRule="auto"/>
        <w:rPr>
          <w:sz w:val="20"/>
          <w:szCs w:val="20"/>
          <w:color w:val="auto"/>
        </w:rPr>
      </w:pPr>
      <w:r>
        <w:rPr>
          <w:rFonts w:ascii="Times New Roman" w:cs="Times New Roman" w:eastAsia="Times New Roman" w:hAnsi="Times New Roman"/>
          <w:sz w:val="22"/>
          <w:szCs w:val="22"/>
          <w:color w:val="auto"/>
        </w:rPr>
        <w:t>The text of the Plan is incorporated in this Agreement by reference. You and the Company agree to execute such further instruments and to take such further action as may reasonably be necessary to carry out the intent of this Agreement. Unless otherwise defined in this Agreement, certain capitalized terms used in this Agreement are defined in the Plan.</w:t>
      </w:r>
    </w:p>
    <w:p>
      <w:pPr>
        <w:spacing w:after="0" w:line="177" w:lineRule="exact"/>
        <w:rPr>
          <w:sz w:val="20"/>
          <w:szCs w:val="20"/>
          <w:color w:val="auto"/>
        </w:rPr>
      </w:pPr>
    </w:p>
    <w:p>
      <w:pPr>
        <w:sectPr>
          <w:pgSz w:w="11900" w:h="16838" w:orient="portrait"/>
          <w:cols w:equalWidth="0" w:num="2">
            <w:col w:w="2000" w:space="720"/>
            <w:col w:w="7540"/>
          </w:cols>
          <w:pgMar w:left="1320" w:top="513" w:right="319" w:bottom="1440" w:gutter="0" w:footer="0" w:header="0"/>
        </w:sectPr>
      </w:pPr>
    </w:p>
    <w:p>
      <w:pPr>
        <w:ind w:left="2720" w:right="140"/>
        <w:spacing w:after="0" w:line="244" w:lineRule="auto"/>
        <w:rPr>
          <w:sz w:val="20"/>
          <w:szCs w:val="20"/>
          <w:color w:val="auto"/>
        </w:rPr>
      </w:pPr>
      <w:r>
        <w:rPr>
          <w:rFonts w:ascii="Times New Roman" w:cs="Times New Roman" w:eastAsia="Times New Roman" w:hAnsi="Times New Roman"/>
          <w:sz w:val="22"/>
          <w:szCs w:val="22"/>
          <w:color w:val="auto"/>
        </w:rPr>
        <w:t>This Agreement and the Plan constitute the entire understanding between you and the Company regarding this Award of Performance Units. Any prior agreements, commitments or negotiations are superseded.</w:t>
      </w:r>
    </w:p>
    <w:p>
      <w:pPr>
        <w:spacing w:after="0" w:line="17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For purposes of this Agreement, the following terms have the below defined meanings:</w:t>
      </w:r>
    </w:p>
    <w:p>
      <w:pPr>
        <w:spacing w:after="0" w:line="214" w:lineRule="exact"/>
        <w:rPr>
          <w:sz w:val="20"/>
          <w:szCs w:val="20"/>
          <w:color w:val="auto"/>
        </w:rPr>
      </w:pPr>
    </w:p>
    <w:p>
      <w:pPr>
        <w:ind w:left="2720" w:right="8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Performance Period</w:t>
      </w:r>
      <w:r>
        <w:rPr>
          <w:rFonts w:ascii="Times New Roman" w:cs="Times New Roman" w:eastAsia="Times New Roman" w:hAnsi="Times New Roman"/>
          <w:sz w:val="22"/>
          <w:szCs w:val="22"/>
          <w:color w:val="auto"/>
        </w:rPr>
        <w:t>” means the time period from July 1,2016 through June 30, 2018 provided however that the Performance Period shall end earlier upon the date of any Change in Control.</w:t>
      </w:r>
    </w:p>
    <w:p>
      <w:pPr>
        <w:spacing w:after="0" w:line="167" w:lineRule="exact"/>
        <w:rPr>
          <w:sz w:val="20"/>
          <w:szCs w:val="20"/>
          <w:color w:val="auto"/>
        </w:rPr>
      </w:pPr>
    </w:p>
    <w:p>
      <w:pPr>
        <w:ind w:left="2720" w:right="4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Termination</w:t>
      </w:r>
      <w:r>
        <w:rPr>
          <w:rFonts w:ascii="Times New Roman" w:cs="Times New Roman" w:eastAsia="Times New Roman" w:hAnsi="Times New Roman"/>
          <w:sz w:val="22"/>
          <w:szCs w:val="22"/>
          <w:color w:val="auto"/>
        </w:rPr>
        <w:t>” means that Participant’s Service was terminated after July 1, 2016 due to either Participant’s death or Disability.</w:t>
      </w:r>
    </w:p>
    <w:p>
      <w:pPr>
        <w:spacing w:after="0" w:line="150" w:lineRule="exact"/>
        <w:rPr>
          <w:sz w:val="20"/>
          <w:szCs w:val="20"/>
          <w:color w:val="auto"/>
        </w:rPr>
      </w:pPr>
    </w:p>
    <w:p>
      <w:pPr>
        <w:ind w:left="2720" w:right="14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Settlement Amount</w:t>
      </w:r>
      <w:r>
        <w:rPr>
          <w:rFonts w:ascii="Times New Roman" w:cs="Times New Roman" w:eastAsia="Times New Roman" w:hAnsi="Times New Roman"/>
          <w:sz w:val="22"/>
          <w:szCs w:val="22"/>
          <w:color w:val="auto"/>
        </w:rPr>
        <w:t>” means a cash amount that is equal to the sum (rounded to the nearest whole dollar) of: (i) Settlement Price FY17 multiplied by Vested Performance Units Fiscal Year 2017 plus (ii) Settlement Price FY18 multiplied by Vested Performance Units Fiscal Year 2018 plus (iii) Settlement Price FY19 multiplied by Vested Performance Units Fiscal Year 2019.</w:t>
      </w:r>
    </w:p>
    <w:p>
      <w:pPr>
        <w:spacing w:after="0" w:line="177" w:lineRule="exact"/>
        <w:rPr>
          <w:sz w:val="20"/>
          <w:szCs w:val="20"/>
          <w:color w:val="auto"/>
        </w:rPr>
      </w:pPr>
    </w:p>
    <w:p>
      <w:pPr>
        <w:ind w:left="2720" w:right="2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Settlement Price FY17</w:t>
      </w:r>
      <w:r>
        <w:rPr>
          <w:rFonts w:ascii="Times New Roman" w:cs="Times New Roman" w:eastAsia="Times New Roman" w:hAnsi="Times New Roman"/>
          <w:sz w:val="22"/>
          <w:szCs w:val="22"/>
          <w:color w:val="auto"/>
        </w:rPr>
        <w:t>” means the average of the Fair Market Values of a Share for the first ten trading days following the end of Fiscal Year 2017; provided however that if a Change in Control occurs on or before the tenth such trading day then “Settlement Price FY17” shall instead be the Fair Market Value of a Share as of the last trading day before the Change in Control.</w:t>
      </w:r>
    </w:p>
    <w:p>
      <w:pPr>
        <w:spacing w:after="0" w:line="177" w:lineRule="exact"/>
        <w:rPr>
          <w:sz w:val="20"/>
          <w:szCs w:val="20"/>
          <w:color w:val="auto"/>
        </w:rPr>
      </w:pPr>
    </w:p>
    <w:p>
      <w:pPr>
        <w:ind w:left="2720" w:right="6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Settlement Price FY18</w:t>
      </w:r>
      <w:r>
        <w:rPr>
          <w:rFonts w:ascii="Times New Roman" w:cs="Times New Roman" w:eastAsia="Times New Roman" w:hAnsi="Times New Roman"/>
          <w:sz w:val="22"/>
          <w:szCs w:val="22"/>
          <w:color w:val="auto"/>
        </w:rPr>
        <w:t>” means the average of the Fair Market Values of a Share for the first ten trading days following the end of Fiscal Year 2018; provided however that if a Change in Control occurs (i) on or before the tenth such trading day and (ii) after Fiscal Year 2018, then “Settlement Price FY18” shall instead be the Fair Market Value of a Share as of the last trading day before the Change in Control.</w:t>
      </w:r>
    </w:p>
    <w:p>
      <w:pPr>
        <w:spacing w:after="0" w:line="177" w:lineRule="exact"/>
        <w:rPr>
          <w:sz w:val="20"/>
          <w:szCs w:val="20"/>
          <w:color w:val="auto"/>
        </w:rPr>
      </w:pPr>
    </w:p>
    <w:p>
      <w:pPr>
        <w:ind w:left="2720" w:right="6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Settlement Price FY19</w:t>
      </w:r>
      <w:r>
        <w:rPr>
          <w:rFonts w:ascii="Times New Roman" w:cs="Times New Roman" w:eastAsia="Times New Roman" w:hAnsi="Times New Roman"/>
          <w:sz w:val="22"/>
          <w:szCs w:val="22"/>
          <w:color w:val="auto"/>
        </w:rPr>
        <w:t>” means the average of the Fair Market Values of a Share for the first ten trading days following the end of Fiscal Year 2019; provided however that if a Change in Control occurs (i) on or before the tenth such trading day and (ii) after Fiscal Year 2019, then “Settlement Price FY19” shall instead be the Fair Market Value of a Share as of the last trading day before the Change in Control.</w:t>
      </w:r>
    </w:p>
    <w:p>
      <w:pPr>
        <w:spacing w:after="0" w:line="177" w:lineRule="exact"/>
        <w:rPr>
          <w:sz w:val="20"/>
          <w:szCs w:val="20"/>
          <w:color w:val="auto"/>
        </w:rPr>
      </w:pPr>
    </w:p>
    <w:p>
      <w:pPr>
        <w:ind w:left="2720" w:right="20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Settlement Time</w:t>
      </w:r>
      <w:r>
        <w:rPr>
          <w:rFonts w:ascii="Times New Roman" w:cs="Times New Roman" w:eastAsia="Times New Roman" w:hAnsi="Times New Roman"/>
          <w:sz w:val="21"/>
          <w:szCs w:val="21"/>
          <w:color w:val="auto"/>
        </w:rPr>
        <w:t>” means the time when a Vested Performance Unit is exchanged for cash and such event (if any) shall occur upon any date in the fourth calendar month after the end of the Performance Period or upon an earlier Change in Control. Participant must remain employed by the company through Settlement Time in order</w:t>
      </w:r>
    </w:p>
    <w:p>
      <w:pPr>
        <w:spacing w:after="0" w:line="200" w:lineRule="exact"/>
        <w:rPr>
          <w:sz w:val="20"/>
          <w:szCs w:val="20"/>
          <w:color w:val="auto"/>
        </w:rPr>
      </w:pPr>
    </w:p>
    <w:p>
      <w:pPr>
        <w:spacing w:after="0" w:line="201" w:lineRule="exact"/>
        <w:rPr>
          <w:sz w:val="20"/>
          <w:szCs w:val="20"/>
          <w:color w:val="auto"/>
        </w:rPr>
      </w:pPr>
    </w:p>
    <w:p>
      <w:pPr>
        <w:ind w:left="2720" w:right="4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Vested Performance Unit</w:t>
      </w:r>
      <w:r>
        <w:rPr>
          <w:rFonts w:ascii="Times New Roman" w:cs="Times New Roman" w:eastAsia="Times New Roman" w:hAnsi="Times New Roman"/>
          <w:sz w:val="21"/>
          <w:szCs w:val="21"/>
          <w:color w:val="auto"/>
        </w:rPr>
        <w:t>” means, with respect to a Performance Unit subject to this Agreement, that such Performance Unit has become both Service-Based Vested and Performance-Based Vested as described below. Participant must also remain employed by the company through Settlement Time in order for the award to be earned.</w:t>
      </w:r>
    </w:p>
    <w:p>
      <w:pPr>
        <w:sectPr>
          <w:pgSz w:w="11900" w:h="16838" w:orient="portrait"/>
          <w:cols w:equalWidth="0" w:num="1">
            <w:col w:w="10260"/>
          </w:cols>
          <w:pgMar w:left="1320" w:top="513" w:right="319" w:bottom="1440" w:gutter="0" w:footer="0" w:header="0"/>
          <w:type w:val="continuous"/>
        </w:sectPr>
      </w:pPr>
    </w:p>
    <w:bookmarkStart w:id="137" w:name="page138"/>
    <w:bookmarkEnd w:id="137"/>
    <w:p>
      <w:pPr>
        <w:ind w:left="2600" w:hanging="272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Award of Performance Units </w:t>
      </w:r>
      <w:r>
        <w:rPr>
          <w:rFonts w:ascii="Times New Roman" w:cs="Times New Roman" w:eastAsia="Times New Roman" w:hAnsi="Times New Roman"/>
          <w:sz w:val="22"/>
          <w:szCs w:val="22"/>
          <w:color w:val="auto"/>
        </w:rPr>
        <w:t>The Company awards Participant the number of Performance Units shown on the 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sheet of this Agreement. The Award is subject to the terms and conditions of this Agreement and the Plan.</w:t>
      </w:r>
    </w:p>
    <w:p>
      <w:pPr>
        <w:sectPr>
          <w:pgSz w:w="11900" w:h="16838" w:orient="portrait"/>
          <w:cols w:equalWidth="0" w:num="1">
            <w:col w:w="10180"/>
          </w:cols>
          <w:pgMar w:left="1440" w:top="513" w:right="2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21"/>
          <w:szCs w:val="21"/>
          <w:color w:val="auto"/>
        </w:rPr>
        <w:t>As of the Date of Award, none of the Performance Units subject to this Agreement are Vested Performance Units. Only Vested Performance Units are eligible to be exchanged for cash consideration. For any Performance Unit to become a Vested Performance Unit, two separate vesting requirements must each be satisfied as specified below.</w:t>
      </w:r>
    </w:p>
    <w:p>
      <w:pPr>
        <w:spacing w:after="0" w:line="162" w:lineRule="exact"/>
        <w:rPr>
          <w:sz w:val="20"/>
          <w:szCs w:val="20"/>
          <w:color w:val="auto"/>
        </w:rPr>
      </w:pPr>
    </w:p>
    <w:p>
      <w:pPr>
        <w:sectPr>
          <w:pgSz w:w="11900" w:h="16838" w:orient="portrait"/>
          <w:cols w:equalWidth="0" w:num="2">
            <w:col w:w="2000" w:space="720"/>
            <w:col w:w="7600"/>
          </w:cols>
          <w:pgMar w:left="1320" w:top="513" w:right="259" w:bottom="1440" w:gutter="0" w:footer="0" w:header="0"/>
        </w:sectPr>
      </w:pPr>
    </w:p>
    <w:p>
      <w:pPr>
        <w:ind w:left="2720"/>
        <w:spacing w:after="0" w:line="232" w:lineRule="auto"/>
        <w:rPr>
          <w:sz w:val="20"/>
          <w:szCs w:val="20"/>
          <w:color w:val="auto"/>
        </w:rPr>
      </w:pPr>
      <w:r>
        <w:rPr>
          <w:rFonts w:ascii="Times New Roman" w:cs="Times New Roman" w:eastAsia="Times New Roman" w:hAnsi="Times New Roman"/>
          <w:sz w:val="22"/>
          <w:szCs w:val="22"/>
          <w:color w:val="auto"/>
        </w:rPr>
        <w:t>Service-Based Vested Requirement: Subject to the next sentence, the Service-Based Vested requirements will be satisfied upon the end of the Performance Period only if Participant has continuously remained in Service from the Date of Award through the end of the Performance Period. If there is a Qualifying Termination before the end of the Performance Period then the following number of Performance Units (rounded to the nearest whole number) shall become Service-Based Vested at the end of the Performance Period (and those Performance Units that do not become Service-Based Vested shall be forfeited without consideration): the sum of (i) the quotient of the number of days elapsed in the Fiscal Year of the Qualifying Termination (determined as of the Termination Date) divided by the total number of days in that Fiscal Year (provided that if the Performance Period ends before the end of that Fiscal Year then only the total number of days in that Fiscal Year that occurred before the end of the Performance Period shall be used in the denominator), multiplied by (ii) the total number of Performance Units subject to the Fiscal Year of the Termination Date, plus</w:t>
      </w:r>
    </w:p>
    <w:p>
      <w:pPr>
        <w:spacing w:after="0" w:line="4" w:lineRule="exact"/>
        <w:rPr>
          <w:sz w:val="20"/>
          <w:szCs w:val="20"/>
          <w:color w:val="auto"/>
        </w:rPr>
      </w:pPr>
    </w:p>
    <w:p>
      <w:pPr>
        <w:ind w:left="2720" w:right="20" w:firstLine="3"/>
        <w:spacing w:after="0" w:line="232" w:lineRule="auto"/>
        <w:tabs>
          <w:tab w:leader="none" w:pos="309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Performance Units subject to all prior completed Fiscal Years in the Performance Period. No unvested Performance Units can become Service-Based Vested after Participant’s Service has terminated for any reason and any Performance Units that are not Service-Based Vested shall be forfeited without consideration on the Participant’s Termination Date. No unvested Performance Units for a future Fiscal Year can become Service-Based Vested after a Change in Control and any Performance Units that are not Service-Based Vested shall be forfeited without consideration upon such Change in Control.</w:t>
      </w:r>
    </w:p>
    <w:p>
      <w:pPr>
        <w:spacing w:after="0" w:line="180" w:lineRule="exact"/>
        <w:rPr>
          <w:sz w:val="20"/>
          <w:szCs w:val="20"/>
          <w:color w:val="auto"/>
        </w:rPr>
      </w:pPr>
    </w:p>
    <w:p>
      <w:pPr>
        <w:ind w:left="2720" w:right="20"/>
        <w:spacing w:after="0" w:line="243" w:lineRule="auto"/>
        <w:rPr>
          <w:sz w:val="20"/>
          <w:szCs w:val="20"/>
          <w:color w:val="auto"/>
        </w:rPr>
      </w:pPr>
      <w:r>
        <w:rPr>
          <w:rFonts w:ascii="Times New Roman" w:cs="Times New Roman" w:eastAsia="Times New Roman" w:hAnsi="Times New Roman"/>
          <w:sz w:val="21"/>
          <w:szCs w:val="21"/>
          <w:color w:val="auto"/>
        </w:rPr>
        <w:t>Performance-Based Vested Requirement: The Performance-Based Vested requirements are described in this section. The Performance Units shall be subject to achievement of Performance Goals that will annually be prescribed by the Committee for one or more of each of the then remaining Fiscal Years that are contained within the Performance Period. The Performance Goals for Fiscal Year 2017 are set forth below and it is expected that the Performance Goals for Fiscal Years 2018 and 2019, respectively, will be provided by the Company to you in writing within the first 90 days of each such Fiscal Year (and you must timely execute such writing as a condition of this Award and such writing will then become a part of this Agreement). Each respective set of annual Performance Goals will apply to the number of Performance Units designated above for the corresponding Fiscal Year in the Performance Period. After the end of each Fiscal Year in the Performance Period, the Committee will determine the degree of satisfaction for that Fiscal Year’s Performance Goals and will determine what number of the Performance Units subject to that Fiscal Year’s Performance Goals will no longer be eligible to become Performance-Based Vested and which are therefore forfeited without consideration upon such Committee determination. Additionally, after the end of the Performance Period, the Committee will make a cumulative determination as to what number (if any) of then outstanding Performance Units from any or all of the Fiscal Years in the Performance Period will be forfeited without consideration based on overall considerations and factors that the Committee elects to apply in its discretion notwithstanding the degree of attainment of the various Performance Goals over the Performance Period. Notwithstanding the foregoing, the Committee will make all such performance vesting determinations no later than immediately before the occurrence of any Change in Control. The number of remaining Performance Units (if any) that have not been forfeited after the Committee’s final determinations under this section shall then become Performance-Based Vested.</w:t>
      </w:r>
    </w:p>
    <w:p>
      <w:pPr>
        <w:spacing w:after="0" w:line="1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Fiscal Year 2017 Performance Goals: See Exhibit A</w:t>
      </w:r>
    </w:p>
    <w:p>
      <w:pPr>
        <w:sectPr>
          <w:pgSz w:w="11900" w:h="16838" w:orient="portrait"/>
          <w:cols w:equalWidth="0" w:num="1">
            <w:col w:w="10320"/>
          </w:cols>
          <w:pgMar w:left="1320" w:top="513" w:right="25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b w:val="1"/>
          <w:bCs w:val="1"/>
          <w:color w:val="auto"/>
        </w:rPr>
        <w:t>Settlement</w:t>
      </w:r>
    </w:p>
    <w:p>
      <w:pPr>
        <w:spacing w:after="0" w:line="20" w:lineRule="exact"/>
        <w:rPr>
          <w:sz w:val="20"/>
          <w:szCs w:val="20"/>
          <w:color w:val="auto"/>
        </w:rPr>
      </w:pPr>
      <w:r>
        <w:rPr>
          <w:sz w:val="20"/>
          <w:szCs w:val="20"/>
          <w:color w:val="auto"/>
        </w:rPr>
        <w:br w:type="column"/>
      </w:r>
    </w:p>
    <w:p>
      <w:pPr>
        <w:ind w:right="120"/>
        <w:spacing w:after="0" w:line="234" w:lineRule="auto"/>
        <w:rPr>
          <w:sz w:val="20"/>
          <w:szCs w:val="20"/>
          <w:color w:val="auto"/>
        </w:rPr>
      </w:pPr>
      <w:r>
        <w:rPr>
          <w:rFonts w:ascii="Times New Roman" w:cs="Times New Roman" w:eastAsia="Times New Roman" w:hAnsi="Times New Roman"/>
          <w:sz w:val="22"/>
          <w:szCs w:val="22"/>
          <w:color w:val="auto"/>
        </w:rPr>
        <w:t>To the extent any Performance Units become Vested Performance Units and subject to satisfaction of any tax withholding obligations as discussed below, such Vested Performance Units will entitle you to receive payment in cash of the Settlement Amount at the Settlement Time. Payment of the Settlement Amount shall be in complete satisfaction of such Vested Performance Units. Such settled Vested Performance Units shall be immediately cancelled and no longer outstanding and you shall have no further rights or entitlements related to those settled Performance Units. Participant must be employed by the company at the Settlement Time in order for the award to be earned.</w:t>
      </w:r>
    </w:p>
    <w:p>
      <w:pPr>
        <w:spacing w:after="0" w:line="200" w:lineRule="exact"/>
        <w:rPr>
          <w:sz w:val="20"/>
          <w:szCs w:val="20"/>
          <w:color w:val="auto"/>
        </w:rPr>
      </w:pPr>
    </w:p>
    <w:p>
      <w:pPr>
        <w:sectPr>
          <w:pgSz w:w="11900" w:h="16838" w:orient="portrait"/>
          <w:cols w:equalWidth="0" w:num="2">
            <w:col w:w="2000" w:space="720"/>
            <w:col w:w="7580"/>
          </w:cols>
          <w:pgMar w:left="1320" w:top="513" w:right="27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this Award, your Service does not terminate when you go on a </w:t>
      </w:r>
      <w:r>
        <w:rPr>
          <w:rFonts w:ascii="Times New Roman" w:cs="Times New Roman" w:eastAsia="Times New Roman" w:hAnsi="Times New Roman"/>
          <w:sz w:val="22"/>
          <w:szCs w:val="22"/>
          <w:i w:val="1"/>
          <w:iCs w:val="1"/>
          <w:color w:val="auto"/>
        </w:rPr>
        <w:t>bona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fide </w:t>
      </w:r>
      <w:r>
        <w:rPr>
          <w:rFonts w:ascii="Times New Roman" w:cs="Times New Roman" w:eastAsia="Times New Roman" w:hAnsi="Times New Roman"/>
          <w:sz w:val="22"/>
          <w:szCs w:val="22"/>
          <w:color w:val="auto"/>
        </w:rPr>
        <w:t>leave of absence that was approved by the Company in writing, if the terms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leave provide for Service crediting, or when Service crediting is required by applicable law. Your Service terminates in any event when the approved leave ends unless you immediately return to active work.</w:t>
      </w:r>
    </w:p>
    <w:p>
      <w:pPr>
        <w:spacing w:after="0" w:line="181"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ind w:left="2720" w:right="80"/>
        <w:spacing w:after="0" w:line="244" w:lineRule="auto"/>
        <w:rPr>
          <w:sz w:val="20"/>
          <w:szCs w:val="20"/>
          <w:color w:val="auto"/>
        </w:rPr>
      </w:pPr>
      <w:r>
        <w:rPr>
          <w:rFonts w:ascii="Times New Roman" w:cs="Times New Roman" w:eastAsia="Times New Roman" w:hAnsi="Times New Roman"/>
          <w:sz w:val="22"/>
          <w:szCs w:val="22"/>
          <w:color w:val="auto"/>
        </w:rPr>
        <w:t>The Company determines which leaves count for this purpose (along with determining the effect of a leave of absence on vesting of the Award), and when your Service terminates for all purposes under the Plan.</w:t>
      </w:r>
    </w:p>
    <w:p>
      <w:pPr>
        <w:sectPr>
          <w:pgSz w:w="11900" w:h="16838" w:orient="portrait"/>
          <w:cols w:equalWidth="0" w:num="1">
            <w:col w:w="10300"/>
          </w:cols>
          <w:pgMar w:left="1320" w:top="513" w:right="27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Withholding Taxes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You will be solely responsible for payment of any and all applicable taxes, including without limitation any penalties or interest based upon such tax obligations, associated with this Award.</w:t>
      </w:r>
    </w:p>
    <w:p>
      <w:pPr>
        <w:spacing w:after="0" w:line="174"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ind w:left="2720" w:right="20"/>
        <w:spacing w:after="0" w:line="239" w:lineRule="auto"/>
        <w:rPr>
          <w:sz w:val="20"/>
          <w:szCs w:val="20"/>
          <w:color w:val="auto"/>
        </w:rPr>
      </w:pPr>
      <w:r>
        <w:rPr>
          <w:rFonts w:ascii="Times New Roman" w:cs="Times New Roman" w:eastAsia="Times New Roman" w:hAnsi="Times New Roman"/>
          <w:sz w:val="22"/>
          <w:szCs w:val="22"/>
          <w:color w:val="auto"/>
        </w:rPr>
        <w:t>Any payments to be provided to you under this Agreement shall be subject to applicable tax withholding as determined by the Company and the Company shall have the right to effect withholding from such payments in amounts that it determines in accordance with applicable laws.</w:t>
      </w:r>
    </w:p>
    <w:p>
      <w:pPr>
        <w:sectPr>
          <w:pgSz w:w="11900" w:h="16838" w:orient="portrait"/>
          <w:cols w:equalWidth="0" w:num="1">
            <w:col w:w="10300"/>
          </w:cols>
          <w:pgMar w:left="1320" w:top="513" w:right="27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Code Section 409A</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Award will be administered and interpreted to comply with Code Section 409A.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4(d) of the Plan will apply to this Award to the extent needed.</w:t>
      </w:r>
    </w:p>
    <w:p>
      <w:pPr>
        <w:spacing w:after="0" w:line="200"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Transfer of Award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You cannot gift, transfer, assign, alienate, pledge, hypothecate, attach, sell, or encumber this Award. If you attempt to do any of these things, this Award will immediately become invalid. You may, however, dispose of this Award in your will or it may be transferred by the laws of descent and distribution. Regardless of any marital property settlement agreement, the Company is not obligated to recognize your spouse’s interest in your Award in any other way.</w:t>
      </w:r>
    </w:p>
    <w:p>
      <w:pPr>
        <w:sectPr>
          <w:pgSz w:w="11900" w:h="16838" w:orient="portrait"/>
          <w:cols w:equalWidth="0" w:num="2">
            <w:col w:w="2000" w:space="720"/>
            <w:col w:w="7580"/>
          </w:cols>
          <w:pgMar w:left="1320" w:top="513" w:right="27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1"/>
          <w:szCs w:val="21"/>
          <w:b w:val="1"/>
          <w:bCs w:val="1"/>
          <w:color w:val="auto"/>
        </w:rPr>
        <w:t>Retention Rights</w:t>
      </w:r>
    </w:p>
    <w:p>
      <w:pPr>
        <w:spacing w:after="0" w:line="20" w:lineRule="exact"/>
        <w:rPr>
          <w:sz w:val="20"/>
          <w:szCs w:val="20"/>
          <w:color w:val="auto"/>
        </w:rPr>
      </w:pPr>
      <w:r>
        <w:rPr>
          <w:sz w:val="20"/>
          <w:szCs w:val="20"/>
          <w:color w:val="auto"/>
        </w:rPr>
        <w:br w:type="column"/>
      </w:r>
    </w:p>
    <w:p>
      <w:pPr>
        <w:jc w:val="both"/>
        <w:ind w:right="680"/>
        <w:spacing w:after="0" w:line="239" w:lineRule="auto"/>
        <w:rPr>
          <w:sz w:val="20"/>
          <w:szCs w:val="20"/>
          <w:color w:val="auto"/>
        </w:rPr>
      </w:pPr>
      <w:r>
        <w:rPr>
          <w:rFonts w:ascii="Times New Roman" w:cs="Times New Roman" w:eastAsia="Times New Roman" w:hAnsi="Times New Roman"/>
          <w:sz w:val="22"/>
          <w:szCs w:val="22"/>
          <w:color w:val="auto"/>
        </w:rPr>
        <w:t>Your Award or this Agreement does not give you the right to be retained by the Company (or any Parent or any Subsidiaries or Affiliates) in any capacity. The Company (or any Parent and any Subsidiaries or Affiliates) reserves the right to terminate your Service at any time and for any reason.</w:t>
      </w:r>
    </w:p>
    <w:p>
      <w:pPr>
        <w:spacing w:after="0" w:line="181" w:lineRule="exact"/>
        <w:rPr>
          <w:sz w:val="20"/>
          <w:szCs w:val="20"/>
          <w:color w:val="auto"/>
        </w:rPr>
      </w:pPr>
    </w:p>
    <w:p>
      <w:pPr>
        <w:sectPr>
          <w:pgSz w:w="11900" w:h="16838" w:orient="portrait"/>
          <w:cols w:equalWidth="0" w:num="2">
            <w:col w:w="2000" w:space="720"/>
            <w:col w:w="7580"/>
          </w:cols>
          <w:pgMar w:left="1320" w:top="513" w:right="279" w:bottom="1440" w:gutter="0" w:footer="0" w:header="0"/>
        </w:sectPr>
      </w:pPr>
    </w:p>
    <w:p>
      <w:pPr>
        <w:jc w:val="both"/>
        <w:ind w:left="2720" w:right="260"/>
        <w:spacing w:after="0" w:line="239" w:lineRule="auto"/>
        <w:rPr>
          <w:sz w:val="20"/>
          <w:szCs w:val="20"/>
          <w:color w:val="auto"/>
        </w:rPr>
      </w:pPr>
      <w:r>
        <w:rPr>
          <w:rFonts w:ascii="Times New Roman" w:cs="Times New Roman" w:eastAsia="Times New Roman" w:hAnsi="Times New Roman"/>
          <w:sz w:val="22"/>
          <w:szCs w:val="22"/>
          <w:color w:val="auto"/>
        </w:rPr>
        <w:t>This Award is not intended to replace any compensation and is not to be considered compensation of a continuing or recurring nature, or part of your normal or expected compensation, and in no way represents any portion of your salary, compensation or other remuneration for any purpose.</w:t>
      </w:r>
    </w:p>
    <w:p>
      <w:pPr>
        <w:sectPr>
          <w:pgSz w:w="11900" w:h="16838" w:orient="portrait"/>
          <w:cols w:equalWidth="0" w:num="1">
            <w:col w:w="10300"/>
          </w:cols>
          <w:pgMar w:left="1320" w:top="513" w:right="27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Shareholder Rights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As a holder of Performance Units, you shall have no rights other than those of a general creditor of the Company. A holder of outstanding Performance Units has none of the rights and privileges of a shareholder of the Company, including no right to vote or to receive dividends (if any). Performance Units create no fiduciary duty of the Company to you and only represent an unfunded and unsecured contractual obligation of the Company. The Performance Units shall not be treated as property or as a trust fund of any kind.</w:t>
      </w:r>
    </w:p>
    <w:p>
      <w:pPr>
        <w:spacing w:after="0" w:line="200"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Adjustments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In the event of a stock split, a stock dividend or a similar change in the Company stock, the number of outstanding Performance Units covered by this Award may be adjusted (and rounded down to the nearest whole number) pursuant to the Plan. Your Performance Units shall be subject to the terms of the agreement of merger, liquidation or reorganization in the event the Company is subject to such corporate activity.</w:t>
      </w:r>
    </w:p>
    <w:p>
      <w:pPr>
        <w:spacing w:after="0" w:line="192"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20" w:lineRule="exact"/>
        <w:rPr>
          <w:sz w:val="20"/>
          <w:szCs w:val="20"/>
          <w:color w:val="auto"/>
        </w:rPr>
      </w:pPr>
      <w:r>
        <w:rPr>
          <w:sz w:val="20"/>
          <w:szCs w:val="20"/>
          <w:color w:val="auto"/>
        </w:rPr>
        <w:br w:type="column"/>
      </w:r>
    </w:p>
    <w:p>
      <w:pPr>
        <w:ind w:right="40"/>
        <w:spacing w:after="0" w:line="245" w:lineRule="auto"/>
        <w:rPr>
          <w:sz w:val="20"/>
          <w:szCs w:val="20"/>
          <w:color w:val="auto"/>
        </w:rPr>
      </w:pPr>
      <w:r>
        <w:rPr>
          <w:rFonts w:ascii="Times New Roman" w:cs="Times New Roman" w:eastAsia="Times New Roman" w:hAnsi="Times New Roman"/>
          <w:sz w:val="21"/>
          <w:szCs w:val="21"/>
          <w:color w:val="auto"/>
        </w:rPr>
        <w:t>The Company may (i) cause the cancellation of this Award, (ii) require reimbursement of this Award and (iii) effect any other right of recoupment of equity or other compensation provided under the Plan or otherwise in accordance with the Company's Clawback Policy and/or applicable law. In addition, you may be required to repay to the Company certain previously paid compensation, whether provided under the Plan or this Agreement or otherwise, in accordance with the Clawback Policy. By accepting this Award, you are also agreeing to be bound by the Company’s Clawback Policy which may be amended from time to time by the Company in its discretion (including without limitation to comply with applicable laws or stock exchange requirements) and are further agreeing that this Award may be unilaterally amended by the Company to the extent needed to comply with the Clawback Policy.</w:t>
      </w:r>
    </w:p>
    <w:p>
      <w:pPr>
        <w:spacing w:after="0" w:line="200"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Utah without reference to the conflicts of law provisions thereof and any action relating to this Agreement must be brought in state or federal courts located in Salt Lake County, Utah.</w:t>
      </w:r>
    </w:p>
    <w:p>
      <w:pPr>
        <w:sectPr>
          <w:pgSz w:w="11900" w:h="16838" w:orient="portrait"/>
          <w:cols w:equalWidth="0" w:num="2">
            <w:col w:w="2000" w:space="720"/>
            <w:col w:w="7580"/>
          </w:cols>
          <w:pgMar w:left="1320" w:top="513" w:right="279" w:bottom="1440" w:gutter="0" w:footer="0" w:header="0"/>
          <w:type w:val="continuous"/>
        </w:sectPr>
      </w:pPr>
    </w:p>
    <w:bookmarkStart w:id="141" w:name="page142"/>
    <w:bookmarkEnd w:id="141"/>
    <w:p>
      <w:pPr>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Binding Effect; No Third</w:t>
      </w:r>
      <w:r>
        <w:rPr>
          <w:sz w:val="20"/>
          <w:szCs w:val="20"/>
          <w:color w:val="auto"/>
        </w:rPr>
        <w:tab/>
      </w:r>
      <w:r>
        <w:rPr>
          <w:rFonts w:ascii="Times New Roman" w:cs="Times New Roman" w:eastAsia="Times New Roman" w:hAnsi="Times New Roman"/>
          <w:sz w:val="21"/>
          <w:szCs w:val="21"/>
          <w:color w:val="auto"/>
        </w:rPr>
        <w:t>This Agreement shall be binding upon and inure to the benefit of the Company and you</w:t>
      </w:r>
    </w:p>
    <w:p>
      <w:pPr>
        <w:spacing w:after="0" w:line="18" w:lineRule="exact"/>
        <w:rPr>
          <w:sz w:val="20"/>
          <w:szCs w:val="20"/>
          <w:color w:val="auto"/>
        </w:rPr>
      </w:pPr>
    </w:p>
    <w:p>
      <w:pPr>
        <w:ind w:left="2720" w:right="180" w:hanging="2727"/>
        <w:spacing w:after="0" w:line="233" w:lineRule="auto"/>
        <w:tabs>
          <w:tab w:leader="none" w:pos="2700" w:val="left"/>
        </w:tabs>
        <w:rPr>
          <w:sz w:val="20"/>
          <w:szCs w:val="20"/>
          <w:color w:val="auto"/>
        </w:rPr>
      </w:pPr>
      <w:r>
        <w:rPr>
          <w:rFonts w:ascii="Times New Roman" w:cs="Times New Roman" w:eastAsia="Times New Roman" w:hAnsi="Times New Roman"/>
          <w:sz w:val="22"/>
          <w:szCs w:val="22"/>
          <w:b w:val="1"/>
          <w:bCs w:val="1"/>
          <w:color w:val="auto"/>
        </w:rPr>
        <w:t>Party Beneficiaries</w:t>
      </w:r>
      <w:r>
        <w:rPr>
          <w:sz w:val="20"/>
          <w:szCs w:val="20"/>
          <w:color w:val="auto"/>
        </w:rPr>
        <w:tab/>
      </w:r>
      <w:r>
        <w:rPr>
          <w:rFonts w:ascii="Times New Roman" w:cs="Times New Roman" w:eastAsia="Times New Roman" w:hAnsi="Times New Roman"/>
          <w:sz w:val="22"/>
          <w:szCs w:val="22"/>
          <w:color w:val="auto"/>
        </w:rPr>
        <w:t>and any respective heirs, representatives, successors and permitted assigns. This Agreement shall not confer any rights or remedies upon any person other than the Company and you and any respective heirs, representatives, successors and permitted assigns. The parties agree that this Agreement shall survive the settlement or termination of the Award.</w:t>
      </w:r>
    </w:p>
    <w:p>
      <w:pPr>
        <w:spacing w:after="0" w:line="257"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Voluntary Participant</w:t>
      </w:r>
      <w:r>
        <w:rPr>
          <w:sz w:val="20"/>
          <w:szCs w:val="20"/>
          <w:color w:val="auto"/>
        </w:rPr>
        <w:tab/>
      </w:r>
      <w:r>
        <w:rPr>
          <w:rFonts w:ascii="Times New Roman" w:cs="Times New Roman" w:eastAsia="Times New Roman" w:hAnsi="Times New Roman"/>
          <w:sz w:val="21"/>
          <w:szCs w:val="21"/>
          <w:color w:val="auto"/>
        </w:rPr>
        <w:t>You acknowledge that you are voluntarily participating in the Plan.</w:t>
      </w:r>
    </w:p>
    <w:p>
      <w:pPr>
        <w:spacing w:after="0" w:line="200" w:lineRule="exact"/>
        <w:rPr>
          <w:sz w:val="20"/>
          <w:szCs w:val="20"/>
          <w:color w:val="auto"/>
        </w:rPr>
      </w:pPr>
    </w:p>
    <w:p>
      <w:pPr>
        <w:spacing w:after="0" w:line="249" w:lineRule="exact"/>
        <w:rPr>
          <w:sz w:val="20"/>
          <w:szCs w:val="20"/>
          <w:color w:val="auto"/>
        </w:rPr>
      </w:pPr>
    </w:p>
    <w:p>
      <w:pPr>
        <w:ind w:left="2720" w:right="80" w:hanging="272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No Rights to Future Awards </w:t>
      </w:r>
      <w:r>
        <w:rPr>
          <w:rFonts w:ascii="Times New Roman" w:cs="Times New Roman" w:eastAsia="Times New Roman" w:hAnsi="Times New Roman"/>
          <w:sz w:val="22"/>
          <w:szCs w:val="22"/>
          <w:color w:val="auto"/>
        </w:rPr>
        <w:t>Your rights, if any, in respect of or in connection with this Award or any other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derived solely from the discretionary decision of the Company to permit you to participate in the Plan and to benefit from a discretionary future Award. By accepting this Award, you expressly acknowledge that there is no obligation on the part of the Company to continue the Plan and/or grant any additional Awards to you or benefits in lieu of other Awards even if Awards have been granted repeatedly in the past. All decisions with respect to future Awards, if any, will be at the sole discretion of the Committee.</w:t>
      </w:r>
    </w:p>
    <w:p>
      <w:pPr>
        <w:sectPr>
          <w:pgSz w:w="11900" w:h="16838" w:orient="portrait"/>
          <w:cols w:equalWidth="0" w:num="1">
            <w:col w:w="10300"/>
          </w:cols>
          <w:pgMar w:left="1320" w:top="513" w:right="27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Future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future value of the underlying Shares is unknown and cannot be predicted with certainty. If the underlying Shares do not increase in value after the Date of Award or if the Shares decrease in value, the Award could have little or no value.</w:t>
      </w:r>
    </w:p>
    <w:p>
      <w:pPr>
        <w:spacing w:after="0" w:line="200" w:lineRule="exact"/>
        <w:rPr>
          <w:sz w:val="20"/>
          <w:szCs w:val="20"/>
          <w:color w:val="auto"/>
        </w:rPr>
      </w:pPr>
    </w:p>
    <w:p>
      <w:pPr>
        <w:sectPr>
          <w:pgSz w:w="11900" w:h="16838" w:orient="portrait"/>
          <w:cols w:equalWidth="0" w:num="2">
            <w:col w:w="2000" w:space="720"/>
            <w:col w:w="7580"/>
          </w:cols>
          <w:pgMar w:left="1320" w:top="513" w:right="279" w:bottom="1440" w:gutter="0" w:footer="0" w:header="0"/>
          <w:type w:val="continuous"/>
        </w:sectPr>
      </w:pPr>
    </w:p>
    <w:p>
      <w:pPr>
        <w:spacing w:after="0" w:line="213" w:lineRule="exact"/>
        <w:rPr>
          <w:sz w:val="20"/>
          <w:szCs w:val="20"/>
          <w:color w:val="auto"/>
        </w:rPr>
      </w:pPr>
    </w:p>
    <w:p>
      <w:pPr>
        <w:ind w:left="2720" w:right="20" w:hanging="272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No Advice Regarding Award </w:t>
      </w:r>
      <w:r>
        <w:rPr>
          <w:rFonts w:ascii="Times New Roman" w:cs="Times New Roman" w:eastAsia="Times New Roman" w:hAnsi="Times New Roman"/>
          <w:sz w:val="22"/>
          <w:szCs w:val="22"/>
          <w:color w:val="auto"/>
        </w:rPr>
        <w:t>The Company has not provided any tax, legal or financial advice, nor has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any recommendations regarding your participation in the Plan. You are hereby advised to consult with your own personal tax, legal and financial advisors regarding your participation in the Plan.</w:t>
      </w:r>
    </w:p>
    <w:p>
      <w:pPr>
        <w:sectPr>
          <w:pgSz w:w="11900" w:h="16838" w:orient="portrait"/>
          <w:cols w:equalWidth="0" w:num="1">
            <w:col w:w="10300"/>
          </w:cols>
          <w:pgMar w:left="1320" w:top="513" w:right="27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Right to Damages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You will have no right to bring a claim or to receive damages if any portion of the Award is cancelled or expires. The loss of existing or potential profit in the Award will not constitute an element of damages in the event of the termination of your Service for any reason, even if the termination is in violation of an obligation of the Company or a Parent or a Subsidiary or an Affiliate to you.</w:t>
      </w:r>
    </w:p>
    <w:p>
      <w:pPr>
        <w:sectPr>
          <w:pgSz w:w="11900" w:h="16838" w:orient="portrait"/>
          <w:cols w:equalWidth="0" w:num="2">
            <w:col w:w="2000" w:space="720"/>
            <w:col w:w="7580"/>
          </w:cols>
          <w:pgMar w:left="1320" w:top="513" w:right="27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1"/>
          <w:szCs w:val="21"/>
          <w:b w:val="1"/>
          <w:bCs w:val="1"/>
          <w:color w:val="auto"/>
        </w:rPr>
        <w:t>Data Privacy</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Times New Roman" w:cs="Times New Roman" w:eastAsia="Times New Roman" w:hAnsi="Times New Roman"/>
          <w:sz w:val="21"/>
          <w:szCs w:val="21"/>
          <w:color w:val="auto"/>
        </w:rPr>
        <w:t>You hereby explicitly and unambiguously consent to the collection, use and transfer, in electronic or other form, of your personal data as described in this document by the Company for the exclusive purpose of implementing, administering and managing your participation in the Plan. You understand that the Company holds certain personal information about you, including, but not limited to, name, home address and telephone number, date of birth, social security or insurance number or other identification number, salary, nationality, job title, any shares of stock or directorships held in the Company, details of all Awards for the purpose of implementing, managing and administering the Plan (“Data”). You understand that the Data may be transferred to any third parties assisting in the implementation, administration and management of the Plan, that these recipients may be located in your country or elsewhere and that the recipient country may have different data privacy laws and protections than your country. You authorize the recipients to receive, possess, use, retain and transfer the Data, in electronic or other form, for the purposes of implementing, administering and managing your participation in the Plan, including any requisite transfer of such Data.</w:t>
      </w:r>
    </w:p>
    <w:p>
      <w:pPr>
        <w:spacing w:after="0" w:line="200" w:lineRule="exact"/>
        <w:rPr>
          <w:sz w:val="20"/>
          <w:szCs w:val="20"/>
          <w:color w:val="auto"/>
        </w:rPr>
      </w:pPr>
    </w:p>
    <w:p>
      <w:pPr>
        <w:sectPr>
          <w:pgSz w:w="11900" w:h="16838" w:orient="portrait"/>
          <w:cols w:equalWidth="0" w:num="2">
            <w:col w:w="2000" w:space="720"/>
            <w:col w:w="7580"/>
          </w:cols>
          <w:pgMar w:left="1320" w:top="513" w:right="27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Information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You agree to receive shareholder information, including copies of any annual report, proxy statement and periodic report, from the Company’s website at www.LifeVantage.com, if the Company wishes to provide such information through its website.</w:t>
      </w:r>
    </w:p>
    <w:p>
      <w:pPr>
        <w:sectPr>
          <w:pgSz w:w="11900" w:h="16838" w:orient="portrait"/>
          <w:cols w:equalWidth="0" w:num="2">
            <w:col w:w="2000" w:space="720"/>
            <w:col w:w="7580"/>
          </w:cols>
          <w:pgMar w:left="1320" w:top="513" w:right="279" w:bottom="1440" w:gutter="0" w:footer="0" w:header="0"/>
          <w:type w:val="continuous"/>
        </w:sectPr>
      </w:pPr>
    </w:p>
    <w:bookmarkStart w:id="143" w:name="page144"/>
    <w:bookmarkEnd w:id="143"/>
    <w:p>
      <w:pPr>
        <w:spacing w:after="0" w:line="286" w:lineRule="auto"/>
        <w:rPr>
          <w:sz w:val="20"/>
          <w:szCs w:val="20"/>
          <w:color w:val="auto"/>
        </w:rPr>
      </w:pPr>
      <w:r>
        <w:rPr>
          <w:rFonts w:ascii="Times New Roman" w:cs="Times New Roman" w:eastAsia="Times New Roman" w:hAnsi="Times New Roman"/>
          <w:sz w:val="21"/>
          <w:szCs w:val="21"/>
          <w:b w:val="1"/>
          <w:bCs w:val="1"/>
          <w:color w:val="auto"/>
        </w:rPr>
        <w:t>Nondisclosure of Confidential Information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You acknowledge that the businesses of the Company is highly competitive and that the Company’s strategies, methods, books, records, and documents, technical information concerning their products, equipment, services, and processes, procurement procedures and pricing techniques, the names of and other information (such as credit and financial data) concerning former, present or prospective customers and business affiliates, all comprise confidential business information and trade secrets which are valuable, special, and unique assets which the Company uses in their business to obtain a competitive advantage over competitors. You further acknowledge that protection of such confidential business information and trade secrets against unauthorized disclosure and use is of critical importance to the Company in maintaining its competitive position. You acknowledge that by reason of your duties to and association with the Company, you have had and will have access to and have and will become informed of confidential business information which is a competitive asset of the Company. You hereby agree that you will not, at any time during or after employment, make any unauthorized disclosure of any confidential business information or trade secrets of the Company, or make any use thereof, except in the carrying out of services responsibilities. You shall take all necessary and appropriate steps to safeguard confidential business information and protect it against disclosure, misappropriation, misuse, loss and theft. Confidential business information shall not include information in the public domain (but only if the same becomes part of the public domain through a means other than a disclosure prohibited hereunder). The above notwithstanding, a disclosure shall not be unauthorized if (i) it is required by law or by a court of competent jurisdiction or (ii) it is in connection with any judicial, arbitration, dispute resolution or other legal proceeding in which your legal rights and obligations as a service provider or under this Agreement are at issue; provided, however, that you shall, to the extent practicable and lawful in any such events, give prior notice to the Company of your intent to disclose any such confidential business information in such context so as to allow the Company an opportunity (which you will not oppose) to obtain such protective orders or similar relief with respect thereto as may be deemed appropriate. Any information not specifically related to the Company would not be considered confidential to the Company.</w:t>
      </w:r>
    </w:p>
    <w:p>
      <w:pPr>
        <w:spacing w:after="0" w:line="200" w:lineRule="exact"/>
        <w:rPr>
          <w:sz w:val="20"/>
          <w:szCs w:val="20"/>
          <w:color w:val="auto"/>
        </w:rPr>
      </w:pPr>
    </w:p>
    <w:p>
      <w:pPr>
        <w:spacing w:after="0" w:line="27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The Company will be entitled to enforce its rights under this Agreement specifically, to recover damages by reason of any breach of any provision of this Agreement and to exercise all other rights to which it may be entitled. You agree and acknowledge that money damages may not be an adequate remedy for breach of the provisions of this Agreement and that the Company may in its sole discretion apply to any court of law or equity of competent jurisdiction for specific performance and/or injunctive relief in order to enforce or prevent any violations of the provisions of this Agreement.</w:t>
      </w:r>
    </w:p>
    <w:p>
      <w:pPr>
        <w:sectPr>
          <w:pgSz w:w="11900" w:h="16838" w:orient="portrait"/>
          <w:cols w:equalWidth="0" w:num="2">
            <w:col w:w="2340" w:space="380"/>
            <w:col w:w="7600"/>
          </w:cols>
          <w:pgMar w:left="1320" w:top="513" w:right="259" w:bottom="1440" w:gutter="0" w:footer="0" w:header="0"/>
        </w:sectPr>
      </w:pPr>
    </w:p>
    <w:bookmarkStart w:id="144" w:name="page145"/>
    <w:bookmarkEnd w:id="144"/>
    <w:p>
      <w:pPr>
        <w:ind w:left="20"/>
        <w:spacing w:after="0"/>
        <w:rPr>
          <w:sz w:val="20"/>
          <w:szCs w:val="20"/>
          <w:color w:val="auto"/>
        </w:rPr>
      </w:pPr>
      <w:r>
        <w:rPr>
          <w:rFonts w:ascii="Times New Roman" w:cs="Times New Roman" w:eastAsia="Times New Roman" w:hAnsi="Times New Roman"/>
          <w:sz w:val="21"/>
          <w:szCs w:val="21"/>
          <w:b w:val="1"/>
          <w:bCs w:val="1"/>
          <w:color w:val="auto"/>
        </w:rPr>
        <w:t>Further Assistance</w:t>
      </w:r>
    </w:p>
    <w:p>
      <w:pPr>
        <w:spacing w:after="0" w:line="20" w:lineRule="exact"/>
        <w:rPr>
          <w:sz w:val="20"/>
          <w:szCs w:val="20"/>
          <w:color w:val="auto"/>
        </w:rPr>
      </w:pPr>
      <w:r>
        <w:rPr>
          <w:sz w:val="20"/>
          <w:szCs w:val="20"/>
          <w:color w:val="auto"/>
        </w:rPr>
        <w:br w:type="column"/>
      </w:r>
    </w:p>
    <w:p>
      <w:pPr>
        <w:ind w:right="140"/>
        <w:spacing w:after="0" w:line="238" w:lineRule="auto"/>
        <w:rPr>
          <w:sz w:val="20"/>
          <w:szCs w:val="20"/>
          <w:color w:val="auto"/>
        </w:rPr>
      </w:pPr>
      <w:r>
        <w:rPr>
          <w:rFonts w:ascii="Times New Roman" w:cs="Times New Roman" w:eastAsia="Times New Roman" w:hAnsi="Times New Roman"/>
          <w:sz w:val="22"/>
          <w:szCs w:val="22"/>
          <w:color w:val="auto"/>
        </w:rPr>
        <w:t>You agree to provide assistance reasonably requested by the Company in connection with actions taken by you while providing services to the Company, including but not limited to assistance in connection with any lawsuits or other claims against the Company arising from events during the period in which you rendered service to the Company.</w:t>
      </w:r>
    </w:p>
    <w:p>
      <w:pPr>
        <w:spacing w:after="0" w:line="200" w:lineRule="exact"/>
        <w:rPr>
          <w:sz w:val="20"/>
          <w:szCs w:val="20"/>
          <w:color w:val="auto"/>
        </w:rPr>
      </w:pPr>
    </w:p>
    <w:p>
      <w:pPr>
        <w:sectPr>
          <w:pgSz w:w="11900" w:h="16838" w:orient="portrait"/>
          <w:cols w:equalWidth="0" w:num="2">
            <w:col w:w="2020" w:space="720"/>
            <w:col w:w="7540"/>
          </w:cols>
          <w:pgMar w:left="1300" w:top="513" w:right="31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All notices, requests, demands, claims, and other communications under this Agreement shall be in writing. Any notice, request, demand, claim, or other communication under this Agreement shall be deemed duly given if (and then two business days after) it is sent by registered or certified mail, return receipt requested, postage prepaid, and addressed to the intended recipient at the address set forth below the recipient’s signature to this Agreement.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200" w:lineRule="exact"/>
        <w:rPr>
          <w:sz w:val="20"/>
          <w:szCs w:val="20"/>
          <w:color w:val="auto"/>
        </w:rPr>
      </w:pPr>
    </w:p>
    <w:p>
      <w:pPr>
        <w:sectPr>
          <w:pgSz w:w="11900" w:h="16838" w:orient="portrait"/>
          <w:cols w:equalWidth="0" w:num="2">
            <w:col w:w="2020" w:space="720"/>
            <w:col w:w="7540"/>
          </w:cols>
          <w:pgMar w:left="1300" w:top="513" w:right="319" w:bottom="1440" w:gutter="0" w:footer="0" w:header="0"/>
          <w:type w:val="continuous"/>
        </w:sectPr>
      </w:pPr>
    </w:p>
    <w:p>
      <w:pPr>
        <w:spacing w:after="0" w:line="300"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In consideration of the Company granting you this Award, please acknowledge your agreement to fully comply with all of the terms and conditions described above and in the Plan by signing this Agreement in the space provided in the cover sheet and returning it promptly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Sr. Vice President of Human Resources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i w:val="1"/>
          <w:iCs w:val="1"/>
          <w:color w:val="auto"/>
        </w:rPr>
        <w:t>9785 South Monroe Street, Suite 300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SANDY, UT 84070</w:t>
      </w:r>
    </w:p>
    <w:p>
      <w:pPr>
        <w:sectPr>
          <w:pgSz w:w="11900" w:h="16838" w:orient="portrait"/>
          <w:cols w:equalWidth="0" w:num="1">
            <w:col w:w="10280"/>
          </w:cols>
          <w:pgMar w:left="1300" w:top="513" w:right="319"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(No. 333-200363) of LifeVantage Corporation and subsidiaries (the “Company”) of our report dated September 1, 2015 with respect to the consolidated balance sheet of the Company as of June 30, 2015, and the related consolidated statements of operations and comprehensive income, changes in stockholders' equity, and cash flows for the two-year period ended June 30, 2015, which report appears in the Company's annual report on Form 10-K filed with the Securities and Exchange Commission for the year ended June 30, 2016.</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EKS&amp;H LLLP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2016</w:t>
      </w:r>
    </w:p>
    <w:p>
      <w:pPr>
        <w:sectPr>
          <w:pgSz w:w="11900" w:h="16838" w:orient="portrait"/>
          <w:cols w:equalWidth="0" w:num="1">
            <w:col w:w="11420"/>
          </w:cols>
          <w:pgMar w:left="240" w:top="576"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(No. 333-200363) of LifeVantage Corporation and subsidiaries (the “Company”) of our report dated December 12, 2016 with respect to the consolidated balance sheet of the Company as of June 30, 2016, and the related consolidated statements of operations and comprehensive income, changes in stockholders' equity, and cash flows for the year ended June 30, 2015, which report appears in the Company's annual report on Form 10-K filed with the Securities and Exchange Commission on December 12, 2016.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WSRP,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2016</w:t>
      </w:r>
    </w:p>
    <w:p>
      <w:pPr>
        <w:sectPr>
          <w:pgSz w:w="11900" w:h="16838" w:orient="portrait"/>
          <w:cols w:equalWidth="0" w:num="1">
            <w:col w:w="11420"/>
          </w:cols>
          <w:pgMar w:left="240" w:top="369"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left="260" w:right="21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SECURITIES EXCHANGE ACT RULES 13a-14(a) AND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Jensen, certify that:</w:t>
      </w:r>
    </w:p>
    <w:p>
      <w:pPr>
        <w:spacing w:after="0" w:line="252" w:lineRule="exact"/>
        <w:rPr>
          <w:sz w:val="20"/>
          <w:szCs w:val="20"/>
          <w:color w:val="auto"/>
        </w:rPr>
      </w:pPr>
    </w:p>
    <w:p>
      <w:pPr>
        <w:ind w:left="420" w:hanging="412"/>
        <w:spacing w:after="0"/>
        <w:tabs>
          <w:tab w:leader="none" w:pos="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LifeVantage Corporation;</w:t>
      </w:r>
    </w:p>
    <w:p>
      <w:pPr>
        <w:spacing w:after="0" w:line="252"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right="40" w:hanging="247"/>
        <w:spacing w:after="0" w:line="266" w:lineRule="auto"/>
        <w:tabs>
          <w:tab w:leader="none" w:pos="6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0" w:hanging="247"/>
        <w:spacing w:after="0" w:line="266" w:lineRule="auto"/>
        <w:tabs>
          <w:tab w:leader="none" w:pos="6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60" w:hanging="247"/>
        <w:spacing w:after="0" w:line="282" w:lineRule="auto"/>
        <w:tabs>
          <w:tab w:leader="none" w:pos="6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0" w:hanging="247"/>
        <w:spacing w:after="0" w:line="282" w:lineRule="auto"/>
        <w:tabs>
          <w:tab w:leader="none" w:pos="6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Darren Jensen</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34290</wp:posOffset>
            </wp:positionV>
            <wp:extent cx="27012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left="260" w:right="21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Jaggi, certify that:</w:t>
      </w:r>
    </w:p>
    <w:p>
      <w:pPr>
        <w:spacing w:after="0" w:line="171" w:lineRule="exact"/>
        <w:rPr>
          <w:sz w:val="20"/>
          <w:szCs w:val="20"/>
          <w:color w:val="auto"/>
        </w:rPr>
      </w:pPr>
    </w:p>
    <w:p>
      <w:pPr>
        <w:ind w:left="420" w:hanging="412"/>
        <w:spacing w:after="0"/>
        <w:tabs>
          <w:tab w:leader="none" w:pos="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LifeVantage Corporation;</w:t>
      </w:r>
    </w:p>
    <w:p>
      <w:pPr>
        <w:spacing w:after="0" w:line="171"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740" w:right="480" w:hanging="327"/>
        <w:spacing w:after="0" w:line="266" w:lineRule="auto"/>
        <w:tabs>
          <w:tab w:leader="none" w:pos="7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740" w:right="960" w:hanging="327"/>
        <w:spacing w:after="0" w:line="313" w:lineRule="auto"/>
        <w:tabs>
          <w:tab w:leader="none" w:pos="7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740" w:right="40" w:hanging="327"/>
        <w:spacing w:after="0" w:line="266" w:lineRule="auto"/>
        <w:tabs>
          <w:tab w:leader="none" w:pos="7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60" w:right="40" w:hanging="404"/>
        <w:spacing w:after="0" w:line="282" w:lineRule="auto"/>
        <w:tabs>
          <w:tab w:leader="none" w:pos="10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Mark Jaggi</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195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Mark Jaggi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annual report on Form 10-K of LifeVantage Corporation (the “Company”) for the period ended June 30, 2014, with the Securities and Exchange Commission on the date hereof (the “Report”), I, Darren Jensen, President and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Darren Jensen</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298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Darren Jensen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annual report on Form 10-K of LifeVantage Corporation (the “Company”) for the period ended June 30, 2014, with the Securities and Exchange Commission on the date hereof (the “Report”), I, Mark Jaggi,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Mark Jaggi</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34290</wp:posOffset>
            </wp:positionV>
            <wp:extent cx="2006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Jaggi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lvl w:ilvl="1">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lvl w:ilvl="1">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decimal"/>
      <w:start w:val="801"/>
    </w:lvl>
  </w:abstractNum>
  <w:abstractNum w:abstractNumId="13">
    <w:nsid w:val="75C6C33A"/>
    <w:multiLevelType w:val="hybridMultilevel"/>
    <w:lvl w:ilvl="0">
      <w:lvlJc w:val="left"/>
      <w:lvlText w:val="•"/>
      <w:numFmt w:val="bullet"/>
      <w:start w:val="1"/>
    </w:lvl>
    <w:lvl w:ilvl="1">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lvl w:ilvl="1">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2"/>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1)"/>
      <w:numFmt w:val="lowerRoman"/>
      <w:start w:val="3"/>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2"/>
    </w:lvl>
    <w:lvl w:ilvl="1">
      <w:lvlJc w:val="left"/>
      <w:lvlText w:val="-"/>
      <w:numFmt w:val="bullet"/>
      <w:start w:val="1"/>
    </w:lvl>
  </w:abstractNum>
  <w:abstractNum w:abstractNumId="30">
    <w:nsid w:val="D34B6A8"/>
    <w:multiLevelType w:val="hybridMultilevel"/>
    <w:lvl w:ilvl="0">
      <w:lvlJc w:val="left"/>
      <w:lvlText w:val="(%1)"/>
      <w:numFmt w:val="decimal"/>
      <w:start w:val="1"/>
    </w:lvl>
    <w:lvl w:ilvl="1">
      <w:lvlJc w:val="left"/>
      <w:lvlText w:val="-"/>
      <w:numFmt w:val="bullet"/>
      <w:start w:val="1"/>
    </w:lvl>
  </w:abstractNum>
  <w:abstractNum w:abstractNumId="31">
    <w:nsid w:val="10233C99"/>
    <w:multiLevelType w:val="hybridMultilevel"/>
    <w:lvl w:ilvl="0">
      <w:lvlJc w:val="left"/>
      <w:lvlText w:val="(%1)"/>
      <w:numFmt w:val="decimal"/>
      <w:start w:val="4"/>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3"/>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
      <w:numFmt w:val="bullet"/>
      <w:start w:val="1"/>
    </w:lvl>
    <w:lvl w:ilvl="1">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1"/>
    </w:lvl>
    <w:lvl w:ilvl="1">
      <w:lvlJc w:val="left"/>
      <w:lvlText w:val="-"/>
      <w:numFmt w:val="bullet"/>
      <w:start w:val="1"/>
    </w:lvl>
  </w:abstractNum>
  <w:abstractNum w:abstractNumId="41">
    <w:nsid w:val="1DBABF00"/>
    <w:multiLevelType w:val="hybridMultilevel"/>
    <w:lvl w:ilvl="0">
      <w:lvlJc w:val="left"/>
      <w:lvlText w:val="(%1)"/>
      <w:numFmt w:val="decimal"/>
      <w:start w:val="4"/>
    </w:lvl>
  </w:abstractNum>
  <w:abstractNum w:abstractNumId="42">
    <w:nsid w:val="4AD084E9"/>
    <w:multiLevelType w:val="hybridMultilevel"/>
    <w:lvl w:ilvl="0">
      <w:lvlJc w:val="left"/>
      <w:lvlText w:val="(%1)"/>
      <w:numFmt w:val="decimal"/>
      <w:start w:val="1"/>
    </w:lvl>
    <w:lvl w:ilvl="1">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lvl w:ilvl="1">
      <w:lvlJc w:val="left"/>
      <w:lvlText w:val="-"/>
      <w:numFmt w:val="bullet"/>
      <w:start w:val="1"/>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5"/>
    </w:lvl>
  </w:abstractNum>
  <w:abstractNum w:abstractNumId="48">
    <w:nsid w:val="15014ACB"/>
    <w:multiLevelType w:val="hybridMultilevel"/>
    <w:lvl w:ilvl="0">
      <w:lvlJc w:val="left"/>
      <w:lvlText w:val="(%1)"/>
      <w:numFmt w:val="lowerLetter"/>
      <w:start w:val="9"/>
    </w:lvl>
  </w:abstractNum>
  <w:abstractNum w:abstractNumId="49">
    <w:nsid w:val="5F5E7FD0"/>
    <w:multiLevelType w:val="hybridMultilevel"/>
    <w:lvl w:ilvl="0">
      <w:lvlJc w:val="left"/>
      <w:lvlText w:val="(%1)"/>
      <w:numFmt w:val="lowerLetter"/>
      <w:start w:val="13"/>
    </w:lvl>
    <w:lvl w:ilvl="1">
      <w:lvlJc w:val="left"/>
      <w:lvlText w:val="(%2)"/>
      <w:numFmt w:val="lowerLetter"/>
      <w:start w:val="9"/>
    </w:lvl>
  </w:abstractNum>
  <w:abstractNum w:abstractNumId="50">
    <w:nsid w:val="98A3148"/>
    <w:multiLevelType w:val="hybridMultilevel"/>
    <w:lvl w:ilvl="0">
      <w:lvlJc w:val="left"/>
      <w:lvlText w:val="(%1)"/>
      <w:numFmt w:val="lowerLetter"/>
      <w:start w:val="20"/>
    </w:lvl>
  </w:abstractNum>
  <w:abstractNum w:abstractNumId="51">
    <w:nsid w:val="799D0247"/>
    <w:multiLevelType w:val="hybridMultilevel"/>
    <w:lvl w:ilvl="0">
      <w:lvlJc w:val="left"/>
      <w:lvlText w:val="(%1)"/>
      <w:numFmt w:val="lowerLetter"/>
      <w:start w:val="27"/>
    </w:lvl>
  </w:abstractNum>
  <w:abstractNum w:abstractNumId="52">
    <w:nsid w:val="6B94764"/>
    <w:multiLevelType w:val="hybridMultilevel"/>
    <w:lvl w:ilvl="0">
      <w:lvlJc w:val="left"/>
      <w:lvlText w:val="(%1)"/>
      <w:numFmt w:val="lowerLetter"/>
      <w:start w:val="29"/>
    </w:lvl>
  </w:abstractNum>
  <w:abstractNum w:abstractNumId="53">
    <w:nsid w:val="42C296BD"/>
    <w:multiLevelType w:val="hybridMultilevel"/>
    <w:lvl w:ilvl="0">
      <w:lvlJc w:val="left"/>
      <w:lvlText w:val="(%1)"/>
      <w:numFmt w:val="lowerLetter"/>
      <w:start w:val="1"/>
    </w:lvl>
    <w:lvl w:ilvl="1">
      <w:lvlJc w:val="left"/>
      <w:lvlText w:val="(%2)"/>
      <w:numFmt w:val="lowerRoman"/>
      <w:start w:val="1"/>
    </w:lvl>
  </w:abstractNum>
  <w:abstractNum w:abstractNumId="54">
    <w:nsid w:val="168E121F"/>
    <w:multiLevelType w:val="hybridMultilevel"/>
    <w:lvl w:ilvl="0">
      <w:lvlJc w:val="left"/>
      <w:lvlText w:val="(%1)"/>
      <w:numFmt w:val="lowerRoman"/>
      <w:start w:val="6"/>
    </w:lvl>
  </w:abstractNum>
  <w:abstractNum w:abstractNumId="55">
    <w:nsid w:val="1EBA5D23"/>
    <w:multiLevelType w:val="hybridMultilevel"/>
    <w:lvl w:ilvl="0">
      <w:lvlJc w:val="left"/>
      <w:lvlText w:val="(%1)"/>
      <w:numFmt w:val="lowerLetter"/>
      <w:start w:val="3"/>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lowerLetter"/>
      <w:start w:val="5"/>
    </w:lvl>
  </w:abstractNum>
  <w:abstractNum w:abstractNumId="58">
    <w:nsid w:val="540A471C"/>
    <w:multiLevelType w:val="hybridMultilevel"/>
    <w:lvl w:ilvl="0">
      <w:lvlJc w:val="left"/>
      <w:lvlText w:val="(%1)"/>
      <w:numFmt w:val="lowerLetter"/>
      <w:start w:val="12"/>
    </w:lvl>
  </w:abstractNum>
  <w:abstractNum w:abstractNumId="59">
    <w:nsid w:val="7BD3EE7B"/>
    <w:multiLevelType w:val="hybridMultilevel"/>
    <w:lvl w:ilvl="0">
      <w:lvlJc w:val="left"/>
      <w:lvlText w:val="(%1)"/>
      <w:numFmt w:val="lowerLetter"/>
      <w:start w:val="1"/>
    </w:lvl>
    <w:lvl w:ilvl="1">
      <w:lvlJc w:val="left"/>
      <w:lvlText w:val="(%2)"/>
      <w:numFmt w:val="lowerRoman"/>
      <w:start w:val="1"/>
    </w:lvl>
  </w:abstractNum>
  <w:abstractNum w:abstractNumId="60">
    <w:nsid w:val="51D9C564"/>
    <w:multiLevelType w:val="hybridMultilevel"/>
    <w:lvl w:ilvl="0">
      <w:lvlJc w:val="left"/>
      <w:lvlText w:val="(%1)"/>
      <w:numFmt w:val="lowerLetter"/>
      <w:start w:val="5"/>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lowerLetter"/>
      <w:start w:val="4"/>
    </w:lvl>
  </w:abstractNum>
  <w:abstractNum w:abstractNumId="66">
    <w:nsid w:val="8F2B15E"/>
    <w:multiLevelType w:val="hybridMultilevel"/>
    <w:lvl w:ilvl="0">
      <w:lvlJc w:val="left"/>
      <w:lvlText w:val="(%1)"/>
      <w:numFmt w:val="lowerLetter"/>
      <w:start w:val="9"/>
    </w:lvl>
  </w:abstractNum>
  <w:abstractNum w:abstractNumId="67">
    <w:nsid w:val="1A32234B"/>
    <w:multiLevelType w:val="hybridMultilevel"/>
    <w:lvl w:ilvl="0">
      <w:lvlJc w:val="left"/>
      <w:lvlText w:val="(%1)"/>
      <w:numFmt w:val="lowerLetter"/>
      <w:start w:val="11"/>
    </w:lvl>
  </w:abstractNum>
  <w:abstractNum w:abstractNumId="68">
    <w:nsid w:val="3B0FD379"/>
    <w:multiLevelType w:val="hybridMultilevel"/>
    <w:lvl w:ilvl="0">
      <w:lvlJc w:val="left"/>
      <w:lvlText w:val="(%1)"/>
      <w:numFmt w:val="lowerRoman"/>
      <w:start w:val="1"/>
    </w:lvl>
  </w:abstractNum>
  <w:abstractNum w:abstractNumId="69">
    <w:nsid w:val="68EB2F63"/>
    <w:multiLevelType w:val="hybridMultilevel"/>
    <w:lvl w:ilvl="0">
      <w:lvlJc w:val="left"/>
      <w:lvlText w:val="(%1)"/>
      <w:numFmt w:val="lowerLetter"/>
      <w:start w:val="14"/>
    </w:lvl>
  </w:abstractNum>
  <w:abstractNum w:abstractNumId="70">
    <w:nsid w:val="4962813B"/>
    <w:multiLevelType w:val="hybridMultilevel"/>
    <w:lvl w:ilvl="0">
      <w:lvlJc w:val="left"/>
      <w:lvlText w:val="(%1)"/>
      <w:numFmt w:val="lowerLetter"/>
      <w:start w:val="23"/>
    </w:lvl>
  </w:abstractNum>
  <w:abstractNum w:abstractNumId="71">
    <w:nsid w:val="60B6DF70"/>
    <w:multiLevelType w:val="hybridMultilevel"/>
    <w:lvl w:ilvl="0">
      <w:lvlJc w:val="left"/>
      <w:lvlText w:val="(%1)"/>
      <w:numFmt w:val="lowerLetter"/>
      <w:start w:val="24"/>
    </w:lvl>
  </w:abstractNum>
  <w:abstractNum w:abstractNumId="72">
    <w:nsid w:val="6A5EE64"/>
    <w:multiLevelType w:val="hybridMultilevel"/>
    <w:lvl w:ilvl="0">
      <w:lvlJc w:val="left"/>
      <w:lvlText w:val="(%1)"/>
      <w:numFmt w:val="lowerLetter"/>
      <w:start w:val="27"/>
    </w:lvl>
  </w:abstractNum>
  <w:abstractNum w:abstractNumId="73">
    <w:nsid w:val="14330624"/>
    <w:multiLevelType w:val="hybridMultilevel"/>
    <w:lvl w:ilvl="0">
      <w:lvlJc w:val="left"/>
      <w:lvlText w:val="(%1)"/>
      <w:numFmt w:val="lowerLetter"/>
      <w:start w:val="29"/>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Letter"/>
      <w:start w:val="2"/>
    </w:lvl>
    <w:lvl w:ilvl="1">
      <w:lvlJc w:val="left"/>
      <w:lvlText w:val="(%2)"/>
      <w:numFmt w:val="lowerRoman"/>
      <w:start w:val="1"/>
    </w:lvl>
  </w:abstractNum>
  <w:abstractNum w:abstractNumId="76">
    <w:nsid w:val="71EA1109"/>
    <w:multiLevelType w:val="hybridMultilevel"/>
    <w:lvl w:ilvl="0">
      <w:lvlJc w:val="left"/>
      <w:lvlText w:val="(%1)"/>
      <w:numFmt w:val="lowerLetter"/>
      <w:start w:val="3"/>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5"/>
    </w:lvl>
  </w:abstractNum>
  <w:abstractNum w:abstractNumId="79">
    <w:nsid w:val="6EB5BD4"/>
    <w:multiLevelType w:val="hybridMultilevel"/>
    <w:lvl w:ilvl="0">
      <w:lvlJc w:val="left"/>
      <w:lvlText w:val="(%1)"/>
      <w:numFmt w:val="lowerLetter"/>
      <w:start w:val="9"/>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3"/>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3"/>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Roman"/>
      <w:start w:val="3"/>
    </w:lvl>
  </w:abstractNum>
  <w:abstractNum w:abstractNumId="86">
    <w:nsid w:val="14E17E3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2019-12-29T10:06:25Z</dcterms:created>
  <dcterms:modified xsi:type="dcterms:W3CDTF">2019-12-29T10:06:25Z</dcterms:modified>
</cp:coreProperties>
</file>