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LifeVantage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Capital Management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2,406,719.00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2,441,919.00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2,441,919.00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LifeVantage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3300 North Triumph Boulevard, Suite 700, 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00"/>
        <w:spacing w:after="0" w:line="256" w:lineRule="auto"/>
        <w:rPr>
          <w:sz w:val="20"/>
          <w:szCs w:val="20"/>
          <w:color w:val="auto"/>
        </w:rPr>
      </w:pPr>
      <w:r>
        <w:rPr>
          <w:rFonts w:ascii="Times New Roman" w:cs="Times New Roman" w:eastAsia="Times New Roman" w:hAnsi="Times New Roman"/>
          <w:sz w:val="22"/>
          <w:szCs w:val="22"/>
          <w:color w:val="auto"/>
        </w:rPr>
        <w:t>Pamela C. Simms, Compliance Officer The Capital Management Corporation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4101 Cox Road, Suite 110 Glen Allen, VA 23060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Virginia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2,441,919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2,406,719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2,441,919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The Capital Management Corporation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Pamela Simms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2026-04-02T14:43:29Z</dcterms:created>
  <dcterms:modified xsi:type="dcterms:W3CDTF">2026-04-02T14:43:29Z</dcterms:modified>
</cp:coreProperties>
</file>