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fvn-20260506.htm"/>
      <w:bookmarkStart w:id="1" w:name="kslfvn202605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Lifevantage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1023"/>
        <w:gridCol w:w="933"/>
        <w:gridCol w:w="938"/>
        <w:gridCol w:w="1846"/>
        <w:gridCol w:w="1336"/>
      </w:tblGrid>
      <w:tr>
        <w:trPr/>
        <w:tc>
          <w:tcPr>
            <w:tcW w:w="10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001-35647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90-0224471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3300 N. Triumph Blvd, 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Lehi,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84043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432-9000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LFVN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6, 2026, the Company issued a press release announcing its financial results for the three and nine months ended March 31, 2026. A copy of the Company’s press release is attached as Exhibit 99.1 to this report and incorporated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2.02 and the exhibit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93"/>
        <w:gridCol w:w="168"/>
        <w:gridCol w:w="168"/>
        <w:gridCol w:w="168"/>
        <w:gridCol w:w="168"/>
        <w:gridCol w:w="168"/>
        <w:gridCol w:w="146"/>
        <w:gridCol w:w="146"/>
        <w:gridCol w:w="146"/>
        <w:gridCol w:w="2635"/>
        <w:gridCol w:w="2635"/>
        <w:gridCol w:w="3464"/>
      </w:tblGrid>
      <w:tr>
        <w:trPr/>
        <w:tc>
          <w:tcPr>
            <w:tcW w:w="1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sz w:val="4"/>
                <w:szCs w:val="4"/>
              </w:rPr>
            </w:pPr>
            <w:r>
              <w:rPr>
                <w:sz w:val="4"/>
                <w:szCs w:val="4"/>
              </w:rPr>
            </w:r>
          </w:p>
        </w:tc>
      </w:tr>
      <w:tr>
        <w:trPr/>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5" w:type="dxa"/>
            <w:tcBorders/>
            <w:tcMar>
              <w:top w:w="0" w:type="dxa"/>
              <w:left w:w="0" w:type="dxa"/>
              <w:bottom w:w="0" w:type="dxa"/>
              <w:right w:w="0" w:type="dxa"/>
            </w:tcMar>
            <w:vAlign w:val="center"/>
          </w:tcPr>
          <w:p>
            <w:pPr>
              <w:pStyle w:val="TableContents"/>
              <w:bidi w:val="0"/>
              <w:spacing w:before="0" w:after="283"/>
              <w:jc w:val="left"/>
              <w:rPr/>
            </w:pPr>
            <w:r>
              <w:rPr/>
              <w:t> </w:t>
            </w:r>
          </w:p>
        </w:tc>
        <w:tc>
          <w:tcPr>
            <w:tcW w:w="2635" w:type="dxa"/>
            <w:tcBorders/>
            <w:tcMar>
              <w:top w:w="0" w:type="dxa"/>
              <w:left w:w="0" w:type="dxa"/>
              <w:bottom w:w="0" w:type="dxa"/>
              <w:right w:w="0" w:type="dxa"/>
            </w:tcMar>
            <w:vAlign w:val="center"/>
          </w:tcPr>
          <w:p>
            <w:pPr>
              <w:pStyle w:val="TableContents"/>
              <w:bidi w:val="0"/>
              <w:spacing w:before="0" w:after="283"/>
              <w:jc w:val="left"/>
              <w:rPr/>
            </w:pPr>
            <w:r>
              <w:rPr/>
              <w:t> </w:t>
            </w:r>
          </w:p>
        </w:tc>
        <w:tc>
          <w:tcPr>
            <w:tcW w:w="34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3" w:type="dxa"/>
            <w:gridSpan w:val="6"/>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u w:val="single"/>
              </w:rPr>
            </w:pPr>
            <w:r>
              <w:rPr>
                <w:rFonts w:ascii="Times New Roman" w:hAnsi="Times New Roman"/>
                <w:b/>
                <w:color w:val="000000"/>
                <w:sz w:val="20"/>
                <w:u w:val="single"/>
              </w:rPr>
              <w:t>Exhibit No.</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734" w:type="dxa"/>
            <w:gridSpan w:val="3"/>
            <w:tcBorders/>
            <w:tcMar>
              <w:top w:w="0" w:type="dxa"/>
              <w:left w:w="0" w:type="dxa"/>
              <w:bottom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u w:val="single"/>
              </w:rPr>
              <w:t>Description</w:t>
            </w:r>
            <w:r>
              <w:rPr>
                <w:rFonts w:ascii="Times New Roman" w:hAnsi="Times New Roman"/>
                <w:color w:val="000000"/>
                <w:sz w:val="20"/>
              </w:rPr>
              <w:br/>
              <w:t> </w:t>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734" w:type="dxa"/>
            <w:gridSpan w:val="3"/>
            <w:tcBorders/>
            <w:tcMar>
              <w:top w:w="0" w:type="dxa"/>
              <w:left w:w="0" w:type="dxa"/>
              <w:bottom w:w="0" w:type="dxa"/>
              <w:right w:w="0" w:type="dxa"/>
            </w:tcMar>
            <w:vAlign w:val="center"/>
          </w:tcPr>
          <w:p>
            <w:pPr>
              <w:pStyle w:val="TableContents"/>
              <w:bidi w:val="0"/>
              <w:spacing w:before="0" w:after="283"/>
              <w:jc w:val="left"/>
              <w:rPr/>
            </w:pPr>
            <w:hyperlink w:anchor="lfvn-ex99_1.htm">
              <w:r>
                <w:rPr>
                  <w:rStyle w:val="InternetLink"/>
                  <w:rFonts w:ascii="Times New Roman" w:hAnsi="Times New Roman"/>
                  <w:color w:val="000080"/>
                  <w:sz w:val="20"/>
                  <w:u w:val="single"/>
                </w:rPr>
                <w:t>Press Release issued by the Company on May 6, 2026, announcing its financial results for the three and nine months ended March 31, 2026</w:t>
              </w:r>
            </w:hyperlink>
            <w:r>
              <w:rPr>
                <w:rFonts w:ascii="Times New Roman" w:hAnsi="Times New Roman"/>
                <w:color w:val="0000FF"/>
                <w:sz w:val="20"/>
                <w:u w:val="single"/>
              </w:rPr>
              <w:t>.</w:t>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73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29" w:type="dxa"/>
        <w:jc w:val="left"/>
        <w:tblInd w:w="0" w:type="dxa"/>
        <w:tblLayout w:type="fixed"/>
        <w:tblCellMar>
          <w:top w:w="28" w:type="dxa"/>
          <w:left w:w="28" w:type="dxa"/>
          <w:bottom w:w="28" w:type="dxa"/>
          <w:right w:w="28" w:type="dxa"/>
        </w:tblCellMar>
      </w:tblPr>
      <w:tblGrid>
        <w:gridCol w:w="556"/>
        <w:gridCol w:w="1141"/>
        <w:gridCol w:w="451"/>
        <w:gridCol w:w="288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LIFEVANTAGE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Carl A. Aure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Carl A. Aure</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lfvn-ex99_1.htm"/>
      <w:bookmarkStart w:id="3" w:name="kslfvnex99_1"/>
      <w:bookmarkEnd w:id="2"/>
      <w:bookmarkEnd w:id="3"/>
      <w:r>
        <w:rPr/>
        <w:drawing>
          <wp:inline distT="0" distB="0" distL="0" distR="0">
            <wp:extent cx="28384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600075"/>
                    </a:xfrm>
                    <a:prstGeom prst="rect">
                      <a:avLst/>
                    </a:prstGeom>
                  </pic:spPr>
                </pic:pic>
              </a:graphicData>
            </a:graphic>
          </wp:inline>
        </w:drawing>
      </w:r>
      <w:r>
        <w:br w:type="page"/>
      </w:r>
    </w:p>
    <w:p>
      <w:pPr>
        <w:pStyle w:val="Heading1"/>
        <w:bidi w:val="0"/>
        <w:spacing w:before="0" w:after="240"/>
        <w:jc w:val="right"/>
        <w:rPr>
          <w:rFonts w:ascii="Times New Roman" w:hAnsi="Times New Roman"/>
          <w:color w:val="000000"/>
          <w:sz w:val="20"/>
        </w:rPr>
      </w:pPr>
      <w:r>
        <w:rPr>
          <w:rFonts w:ascii="Times New Roman" w:hAnsi="Times New Roman"/>
          <w:color w:val="000000"/>
          <w:sz w:val="20"/>
        </w:rPr>
        <w:t>Exhibit 99.1</w:t>
      </w:r>
    </w:p>
    <w:p>
      <w:pPr>
        <w:pStyle w:val="TextBody"/>
        <w:bidi w:val="0"/>
        <w:jc w:val="center"/>
        <w:rPr>
          <w:rFonts w:ascii="Arial" w:hAnsi="Arial"/>
          <w:b/>
          <w:color w:val="000000"/>
          <w:sz w:val="24"/>
        </w:rPr>
      </w:pPr>
      <w:bookmarkStart w:id="4" w:name="section1"/>
      <w:bookmarkEnd w:id="4"/>
      <w:r>
        <w:rPr>
          <w:rFonts w:ascii="Arial" w:hAnsi="Arial"/>
          <w:b/>
          <w:color w:val="000000"/>
          <w:sz w:val="24"/>
        </w:rPr>
        <w:t>LifeVantage Announces Financial Results for the</w:t>
      </w:r>
    </w:p>
    <w:p>
      <w:pPr>
        <w:pStyle w:val="TextBody"/>
        <w:bidi w:val="0"/>
        <w:spacing w:before="0" w:after="160"/>
        <w:jc w:val="center"/>
        <w:rPr>
          <w:rFonts w:ascii="Arial" w:hAnsi="Arial"/>
          <w:b/>
          <w:color w:val="000000"/>
          <w:sz w:val="24"/>
        </w:rPr>
      </w:pPr>
      <w:r>
        <w:rPr>
          <w:rFonts w:ascii="Arial" w:hAnsi="Arial"/>
          <w:b/>
          <w:color w:val="000000"/>
          <w:sz w:val="24"/>
        </w:rPr>
        <w:t>Third Quarter of Fiscal 2026</w:t>
      </w:r>
    </w:p>
    <w:p>
      <w:pPr>
        <w:pStyle w:val="TextBody"/>
        <w:bidi w:val="0"/>
        <w:jc w:val="both"/>
        <w:rPr>
          <w:rFonts w:ascii="Times New Roman" w:hAnsi="Times New Roman"/>
          <w:sz w:val="20"/>
        </w:rPr>
      </w:pPr>
      <w:r>
        <w:rPr>
          <w:rFonts w:ascii="Arial" w:hAnsi="Arial"/>
          <w:b/>
          <w:color w:val="000000"/>
          <w:sz w:val="20"/>
        </w:rPr>
        <w:t>Salt Lake City, UT,</w:t>
      </w:r>
      <w:r>
        <w:rPr>
          <w:rFonts w:ascii="Times New Roman" w:hAnsi="Times New Roman"/>
          <w:color w:val="000000"/>
          <w:sz w:val="20"/>
        </w:rPr>
        <w:t xml:space="preserve"> </w:t>
      </w:r>
      <w:r>
        <w:rPr>
          <w:rFonts w:ascii="Arial" w:hAnsi="Arial"/>
          <w:b/>
          <w:color w:val="000000"/>
          <w:sz w:val="20"/>
        </w:rPr>
        <w:t>May 6, 2026</w:t>
      </w:r>
      <w:r>
        <w:rPr>
          <w:rFonts w:ascii="Arial" w:hAnsi="Arial"/>
          <w:color w:val="000000"/>
          <w:sz w:val="20"/>
        </w:rPr>
        <w:t>, LifeVantage Corporation (Nasdaq: LFVN), a leading health and wellness company with products designed to activate optimal health processes at the cellular level, today reported financial results for its third fiscal quarter ended March 31, 2026.</w:t>
      </w:r>
      <w:r>
        <w:rPr>
          <w:rFonts w:ascii="Times New Roman" w:hAnsi="Times New Roman"/>
          <w:color w:val="000000"/>
          <w:sz w:val="20"/>
        </w:rPr>
        <w:t xml:space="preserve"> </w:t>
      </w:r>
    </w:p>
    <w:p>
      <w:pPr>
        <w:pStyle w:val="TextBody"/>
        <w:bidi w:val="0"/>
        <w:spacing w:before="160" w:after="160"/>
        <w:jc w:val="both"/>
        <w:rPr>
          <w:rFonts w:ascii="Arial" w:hAnsi="Arial"/>
          <w:b/>
          <w:color w:val="000000"/>
          <w:sz w:val="20"/>
        </w:rPr>
      </w:pPr>
      <w:r>
        <w:rPr>
          <w:rFonts w:ascii="Arial" w:hAnsi="Arial"/>
          <w:b/>
          <w:color w:val="000000"/>
          <w:sz w:val="20"/>
        </w:rPr>
        <w:t>Third Quarter Fiscal 2026 Summary*:</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 xml:space="preserve">Revenue was $43.7 million, a decrease of 25.2% from the prior year period;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Revenue in the Americas decreased 28.9%, and revenue in Asia/Pacific &amp; Europe decreased 7.7%;</w:t>
      </w:r>
    </w:p>
    <w:p>
      <w:pPr>
        <w:pStyle w:val="TextBody"/>
        <w:bidi w:val="0"/>
        <w:spacing w:before="160" w:after="160"/>
        <w:jc w:val="both"/>
        <w:rPr>
          <w:color w:val="000000"/>
        </w:rPr>
      </w:pPr>
      <w:r>
        <w:rPr>
          <w:color w:val="000000"/>
        </w:rPr>
        <w:t>•</w:t>
      </w:r>
    </w:p>
    <w:p>
      <w:pPr>
        <w:pStyle w:val="TextBody"/>
        <w:bidi w:val="0"/>
        <w:spacing w:before="160" w:after="160"/>
        <w:jc w:val="both"/>
        <w:rPr>
          <w:rFonts w:ascii="Arial" w:hAnsi="Arial"/>
          <w:color w:val="000000"/>
          <w:sz w:val="20"/>
        </w:rPr>
      </w:pPr>
      <w:r>
        <w:rPr>
          <w:rFonts w:ascii="Arial" w:hAnsi="Arial"/>
          <w:color w:val="000000"/>
          <w:sz w:val="20"/>
        </w:rPr>
        <w:t>Net income per diluted share was $0.11, versus $0.26 per diluted share a year ago;</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Adjusted earnings per diluted share was $0.12, compared to $0.26 a year ago; and</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Adjusted EBITDA was $3.2 million compared to $6.4 million a year ago.</w:t>
      </w:r>
    </w:p>
    <w:p>
      <w:pPr>
        <w:pStyle w:val="TextBody"/>
        <w:bidi w:val="0"/>
        <w:spacing w:before="0" w:after="160"/>
        <w:jc w:val="left"/>
        <w:rPr>
          <w:rFonts w:ascii="Arial" w:hAnsi="Arial"/>
          <w:color w:val="000000"/>
          <w:sz w:val="16"/>
        </w:rPr>
      </w:pPr>
      <w:r>
        <w:rPr>
          <w:rFonts w:ascii="Arial" w:hAnsi="Arial"/>
          <w:color w:val="000000"/>
          <w:sz w:val="16"/>
        </w:rPr>
        <w:t>* All comparisons are on a year over year basis and compare the third quarter of fiscal 2026 to the third quarter of fiscal 2025, unless otherwise noted.</w:t>
      </w:r>
    </w:p>
    <w:p>
      <w:pPr>
        <w:pStyle w:val="TextBody"/>
        <w:bidi w:val="0"/>
        <w:spacing w:before="0" w:after="160"/>
        <w:jc w:val="both"/>
        <w:rPr>
          <w:rFonts w:ascii="Times New Roman" w:hAnsi="Times New Roman"/>
          <w:sz w:val="20"/>
        </w:rPr>
      </w:pPr>
      <w:r>
        <w:rPr>
          <w:rFonts w:ascii="Arial" w:hAnsi="Arial"/>
          <w:color w:val="000000"/>
          <w:sz w:val="20"/>
        </w:rPr>
        <w:t>"Third quarter results were softer than we anticipated as lower sales of our MindBody GLP-1 System</w:t>
      </w:r>
      <w:r>
        <w:rPr>
          <w:rFonts w:ascii="Symbol;serif" w:hAnsi="Symbol;serif"/>
          <w:color w:val="000000"/>
          <w:sz w:val="13"/>
        </w:rPr>
        <w:t>Ò</w:t>
      </w:r>
      <w:r>
        <w:rPr>
          <w:rFonts w:ascii="Times New Roman" w:hAnsi="Times New Roman"/>
          <w:color w:val="000000"/>
          <w:sz w:val="20"/>
        </w:rPr>
        <w:t xml:space="preserve"> </w:t>
      </w:r>
      <w:r>
        <w:rPr>
          <w:rFonts w:ascii="Arial" w:hAnsi="Arial"/>
          <w:color w:val="000000"/>
          <w:sz w:val="20"/>
        </w:rPr>
        <w:t>were only partially offset by the addition of LoveBiome," said Michael Beindorff, Interim CEO of LifeVantage. "Despite top-line headwinds, we remained focused on managing expenses and allocating capital, enabling us to continue repurchasing shares while maintaining a strong balance sheet and cash position. That said, we are not satisfied with our performance and are laser focused on making the changes necessary to improve results going forward. With our science-backed approach to nutrigenomics, diversified product portfolio, passionate consultant community, and strong financial foundation, LifeVantage is in a compelling position in the rapidly expanding health and wellness market with significant growth potential ahead, and we intend to realize that potential."</w:t>
      </w:r>
      <w:r>
        <w:rPr>
          <w:rFonts w:ascii="Times New Roman" w:hAnsi="Times New Roman"/>
          <w:color w:val="000000"/>
          <w:sz w:val="20"/>
        </w:rPr>
        <w:t xml:space="preserve"> </w:t>
      </w:r>
    </w:p>
    <w:p>
      <w:pPr>
        <w:pStyle w:val="TextBody"/>
        <w:bidi w:val="0"/>
        <w:spacing w:before="0" w:after="160"/>
        <w:jc w:val="left"/>
        <w:rPr>
          <w:rFonts w:ascii="Arial" w:hAnsi="Arial"/>
          <w:b/>
          <w:color w:val="000000"/>
          <w:sz w:val="20"/>
        </w:rPr>
      </w:pPr>
      <w:r>
        <w:rPr>
          <w:rFonts w:ascii="Arial" w:hAnsi="Arial"/>
          <w:b/>
          <w:color w:val="000000"/>
          <w:sz w:val="20"/>
        </w:rPr>
        <w:t>Third Quarter Fiscal 2026 Results</w:t>
      </w:r>
    </w:p>
    <w:p>
      <w:pPr>
        <w:pStyle w:val="TextBody"/>
        <w:bidi w:val="0"/>
        <w:spacing w:before="0" w:after="160"/>
        <w:jc w:val="both"/>
        <w:rPr>
          <w:rFonts w:ascii="Times New Roman" w:hAnsi="Times New Roman"/>
          <w:sz w:val="20"/>
        </w:rPr>
      </w:pPr>
      <w:r>
        <w:rPr>
          <w:rFonts w:ascii="Arial" w:hAnsi="Arial"/>
          <w:color w:val="000000"/>
          <w:sz w:val="20"/>
        </w:rPr>
        <w:t>For the third quarter ended March 31, 2026, the Company reported revenue of $43.7 million, a 25.2% decrease compared to revenue of $58.4 million in the third quarter of fiscal 2025. Revenue in the Americas region for the third quarter of fiscal 2026 decreased 28.9% primarily due to declines in sales of the MindBody GLP-1 System</w:t>
      </w:r>
      <w:r>
        <w:rPr>
          <w:rFonts w:ascii="Symbol;serif" w:hAnsi="Symbol;serif"/>
          <w:color w:val="000000"/>
          <w:sz w:val="13"/>
        </w:rPr>
        <w:t>Ò</w:t>
      </w:r>
      <w:r>
        <w:rPr>
          <w:rFonts w:ascii="Arial" w:hAnsi="Arial"/>
          <w:color w:val="000000"/>
          <w:sz w:val="20"/>
        </w:rPr>
        <w:t>, partially offset by sales of LoveBiome, which the Company acquired in October 2025. Revenue in the Asia/Pacific &amp; Europe region decreased 7.7%; on a constant currency basis, revenue in the Asia/Pacific &amp; Europe region decreased approximately 8.9%.</w:t>
      </w:r>
    </w:p>
    <w:p>
      <w:pPr>
        <w:pStyle w:val="TextBody"/>
        <w:bidi w:val="0"/>
        <w:spacing w:before="0" w:after="160"/>
        <w:jc w:val="both"/>
        <w:rPr>
          <w:rFonts w:ascii="Times New Roman" w:hAnsi="Times New Roman"/>
          <w:sz w:val="20"/>
        </w:rPr>
      </w:pPr>
      <w:r>
        <w:rPr>
          <w:rFonts w:ascii="Arial" w:hAnsi="Arial"/>
          <w:color w:val="000000"/>
          <w:sz w:val="20"/>
        </w:rPr>
        <w:t>Gross profit for the third quarter of fiscal 2026 was $34.5 million, or 79.0% of revenue, compared to $47.3 million, or 81.0% of revenue, for the same period in fiscal 2025. The decrease in gross profit as a percentage of revenue was primarily due to an allowance for inventory obsolescence related to the MindBody GLP-1 System</w:t>
      </w:r>
      <w:r>
        <w:rPr>
          <w:rFonts w:ascii="Symbol;serif" w:hAnsi="Symbol;serif"/>
          <w:color w:val="000000"/>
          <w:sz w:val="13"/>
        </w:rPr>
        <w:t>Ò</w:t>
      </w:r>
      <w:r>
        <w:rPr>
          <w:rFonts w:ascii="Arial" w:hAnsi="Arial"/>
          <w:color w:val="000000"/>
          <w:sz w:val="20"/>
        </w:rPr>
        <w:t>, along with increases in shipping and warehouse related expenses. Adjusted for the allowance for inventory obsolescence, non-GAAP gross profit was $34.7 million, or 79.4% of revenue.</w:t>
      </w:r>
    </w:p>
    <w:p>
      <w:pPr>
        <w:pStyle w:val="TextBody"/>
        <w:bidi w:val="0"/>
        <w:spacing w:before="0" w:after="160"/>
        <w:jc w:val="both"/>
        <w:rPr>
          <w:rFonts w:ascii="Times New Roman" w:hAnsi="Times New Roman"/>
          <w:sz w:val="20"/>
        </w:rPr>
      </w:pPr>
      <w:r>
        <w:rPr>
          <w:rFonts w:ascii="Arial" w:hAnsi="Arial"/>
          <w:color w:val="000000"/>
          <w:sz w:val="20"/>
        </w:rPr>
        <w:t>Commissions and incentives expense for the third quarter of fiscal 2026 was $19.0 million, or 43.5% of revenue, compared to $26.2 million, or 44.8% of revenue, for the same period in fiscal 2025. The decrease in commissions and incentives expenses as a percentage of revenue compared to the prior year period is primarily due to the timing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38450" cy="600075"/>
                    </a:xfrm>
                    <a:prstGeom prst="rect">
                      <a:avLst/>
                    </a:prstGeom>
                  </pic:spPr>
                </pic:pic>
              </a:graphicData>
            </a:graphic>
          </wp:inline>
        </w:drawing>
      </w:r>
    </w:p>
    <w:p>
      <w:pPr>
        <w:pStyle w:val="TextBody"/>
        <w:bidi w:val="0"/>
        <w:spacing w:before="160" w:after="160"/>
        <w:jc w:val="both"/>
        <w:rPr>
          <w:rFonts w:ascii="Arial" w:hAnsi="Arial"/>
          <w:color w:val="000000"/>
          <w:sz w:val="20"/>
        </w:rPr>
      </w:pPr>
      <w:r>
        <w:rPr>
          <w:rFonts w:ascii="Arial" w:hAnsi="Arial"/>
          <w:color w:val="000000"/>
          <w:sz w:val="20"/>
        </w:rPr>
        <w:t>and magnitude of promotional and incentive programs and changes to the mix of customers and independent consultants in our overall Active Accounts.</w:t>
      </w:r>
    </w:p>
    <w:p>
      <w:pPr>
        <w:pStyle w:val="TextBody"/>
        <w:bidi w:val="0"/>
        <w:spacing w:before="0" w:after="160"/>
        <w:jc w:val="both"/>
        <w:rPr>
          <w:rFonts w:ascii="Arial" w:hAnsi="Arial"/>
          <w:color w:val="000000"/>
          <w:sz w:val="20"/>
        </w:rPr>
      </w:pPr>
      <w:r>
        <w:rPr>
          <w:rFonts w:ascii="Arial" w:hAnsi="Arial"/>
          <w:color w:val="000000"/>
          <w:sz w:val="20"/>
        </w:rPr>
        <w:t>Selling, general and administrative (SG&amp;A) expense for the third quarter of fiscal 2026 was $13.9 million, or 31.7% of revenue, compared to $17.1 million, or 29.2% of revenue, for the same period in fiscal 2025. The increase in SG&amp;A expenses as a percentage of revenue was primarily due to the overall decrease in sales volume.</w:t>
      </w:r>
    </w:p>
    <w:p>
      <w:pPr>
        <w:pStyle w:val="TextBody"/>
        <w:bidi w:val="0"/>
        <w:spacing w:before="0" w:after="160"/>
        <w:jc w:val="both"/>
        <w:rPr>
          <w:rFonts w:ascii="Arial" w:hAnsi="Arial"/>
          <w:color w:val="000000"/>
          <w:sz w:val="20"/>
        </w:rPr>
      </w:pPr>
      <w:r>
        <w:rPr>
          <w:rFonts w:ascii="Arial" w:hAnsi="Arial"/>
          <w:color w:val="000000"/>
          <w:sz w:val="20"/>
        </w:rPr>
        <w:t>Operating income for the third quarter of fiscal 2026 was $1.7 million compared to $4.1 million for the third quarter of fiscal 2025. Adjusted non-GAAP operating income for the third quarter of fiscal 2026 was $1.8 million compared to adjusted non-GAAP operating income of $4.1 million for the third quarter of fiscal 2025.</w:t>
      </w:r>
    </w:p>
    <w:p>
      <w:pPr>
        <w:pStyle w:val="TextBody"/>
        <w:bidi w:val="0"/>
        <w:spacing w:before="0" w:after="160"/>
        <w:jc w:val="both"/>
        <w:rPr>
          <w:rFonts w:ascii="Arial" w:hAnsi="Arial"/>
          <w:color w:val="000000"/>
          <w:sz w:val="20"/>
        </w:rPr>
      </w:pPr>
      <w:r>
        <w:rPr>
          <w:rFonts w:ascii="Arial" w:hAnsi="Arial"/>
          <w:color w:val="000000"/>
          <w:sz w:val="20"/>
        </w:rPr>
        <w:t>Net income for the third quarter of fiscal 2026 was $1.4 million, or $0.11 per diluted share, compared to $3.5 million, or $0.26 per diluted share for the third quarter of fiscal 2025. Adjusted non-GAAP net income for the third quarter of fiscal 2026 was $1.5 million, or $0.12 per diluted share, compared to adjusted non-GAAP income of $3.5 million, or $0.26 per diluted share, for the third quarter of fiscal 2025.</w:t>
      </w:r>
    </w:p>
    <w:p>
      <w:pPr>
        <w:pStyle w:val="TextBody"/>
        <w:bidi w:val="0"/>
        <w:spacing w:before="0" w:after="160"/>
        <w:jc w:val="both"/>
        <w:rPr>
          <w:rFonts w:ascii="Arial" w:hAnsi="Arial"/>
          <w:color w:val="000000"/>
          <w:sz w:val="20"/>
        </w:rPr>
      </w:pPr>
      <w:r>
        <w:rPr>
          <w:rFonts w:ascii="Arial" w:hAnsi="Arial"/>
          <w:color w:val="000000"/>
          <w:sz w:val="20"/>
        </w:rPr>
        <w:t>Adjusted EBITDA was $3.2 million for the third quarter of fiscal 2026, versus $6.4 million for the comparable period in fiscal 2025.</w:t>
      </w:r>
    </w:p>
    <w:p>
      <w:pPr>
        <w:pStyle w:val="TextBody"/>
        <w:bidi w:val="0"/>
        <w:spacing w:before="0" w:after="160"/>
        <w:jc w:val="both"/>
        <w:rPr>
          <w:rFonts w:ascii="Arial" w:hAnsi="Arial"/>
          <w:b/>
          <w:color w:val="000000"/>
          <w:sz w:val="20"/>
        </w:rPr>
      </w:pPr>
      <w:r>
        <w:rPr>
          <w:rFonts w:ascii="Arial" w:hAnsi="Arial"/>
          <w:b/>
          <w:color w:val="000000"/>
          <w:sz w:val="20"/>
        </w:rPr>
        <w:t>Balance Sheet &amp; Liquidity</w:t>
      </w:r>
    </w:p>
    <w:p>
      <w:pPr>
        <w:pStyle w:val="TextBody"/>
        <w:bidi w:val="0"/>
        <w:spacing w:before="0" w:after="160"/>
        <w:jc w:val="both"/>
        <w:rPr>
          <w:rFonts w:ascii="Times New Roman" w:hAnsi="Times New Roman"/>
          <w:sz w:val="20"/>
        </w:rPr>
      </w:pPr>
      <w:r>
        <w:rPr>
          <w:rFonts w:ascii="Arial" w:hAnsi="Arial"/>
          <w:color w:val="000000"/>
          <w:sz w:val="20"/>
        </w:rPr>
        <w:t>The Company generated $5.5 million of cash from operations during the first nine months of fiscal 2026 compared to $10.8 million in the same period in fiscal 2025. The Company's cash and cash equivalents at March 31, 2026 were $12.5 million, compared to $20.2 million at June 30, 2025, and there was no debt outstanding.</w:t>
      </w:r>
      <w:r>
        <w:rPr>
          <w:rFonts w:ascii="Times New Roman" w:hAnsi="Times New Roman"/>
          <w:color w:val="000000"/>
          <w:sz w:val="20"/>
        </w:rPr>
        <w:t xml:space="preserve"> </w:t>
      </w:r>
    </w:p>
    <w:p>
      <w:pPr>
        <w:pStyle w:val="TextBody"/>
        <w:bidi w:val="0"/>
        <w:spacing w:before="0" w:after="160"/>
        <w:jc w:val="both"/>
        <w:rPr>
          <w:rFonts w:ascii="Arial" w:hAnsi="Arial"/>
          <w:b/>
          <w:color w:val="000000"/>
          <w:sz w:val="20"/>
        </w:rPr>
      </w:pPr>
      <w:r>
        <w:rPr>
          <w:rFonts w:ascii="Arial" w:hAnsi="Arial"/>
          <w:b/>
          <w:color w:val="000000"/>
          <w:sz w:val="20"/>
        </w:rPr>
        <w:t>Share Repurchase</w:t>
      </w:r>
    </w:p>
    <w:p>
      <w:pPr>
        <w:pStyle w:val="TextBody"/>
        <w:bidi w:val="0"/>
        <w:spacing w:before="0" w:after="160"/>
        <w:jc w:val="both"/>
        <w:rPr>
          <w:rFonts w:ascii="Times New Roman" w:hAnsi="Times New Roman"/>
          <w:sz w:val="20"/>
        </w:rPr>
      </w:pPr>
      <w:r>
        <w:rPr>
          <w:rFonts w:ascii="Arial" w:hAnsi="Arial"/>
          <w:color w:val="000000"/>
          <w:sz w:val="20"/>
        </w:rPr>
        <w:t>During the first nine months of fiscal 2026, the Company repurchased approximately 250,000 of its common shares for an aggregate price of approximately $1.6 million. As of March 31st, there was $59.0 million remaining under the $60 million share repurchase program approved by the Company’s Board of Directors in January.</w:t>
      </w:r>
      <w:r>
        <w:rPr>
          <w:rFonts w:ascii="Times New Roman" w:hAnsi="Times New Roman"/>
          <w:color w:val="000000"/>
          <w:sz w:val="20"/>
        </w:rPr>
        <w:t xml:space="preserve"> </w:t>
      </w:r>
    </w:p>
    <w:p>
      <w:pPr>
        <w:pStyle w:val="TextBody"/>
        <w:bidi w:val="0"/>
        <w:spacing w:before="0" w:after="160"/>
        <w:jc w:val="both"/>
        <w:rPr>
          <w:rFonts w:ascii="Arial" w:hAnsi="Arial"/>
          <w:b/>
          <w:color w:val="000000"/>
          <w:sz w:val="20"/>
        </w:rPr>
      </w:pPr>
      <w:r>
        <w:rPr>
          <w:rFonts w:ascii="Arial" w:hAnsi="Arial"/>
          <w:b/>
          <w:color w:val="000000"/>
          <w:sz w:val="20"/>
        </w:rPr>
        <w:t>Dividend Announcement</w:t>
      </w:r>
    </w:p>
    <w:p>
      <w:pPr>
        <w:pStyle w:val="TextBody"/>
        <w:bidi w:val="0"/>
        <w:spacing w:before="0" w:after="160"/>
        <w:jc w:val="both"/>
        <w:rPr>
          <w:rFonts w:ascii="Times New Roman" w:hAnsi="Times New Roman"/>
          <w:sz w:val="20"/>
        </w:rPr>
      </w:pPr>
      <w:r>
        <w:rPr>
          <w:rFonts w:ascii="Arial" w:hAnsi="Arial"/>
          <w:color w:val="000000"/>
          <w:sz w:val="20"/>
        </w:rPr>
        <w:t>Today the Company announced the declaration of a cash dividend of $0.05 per common share, an 11.1% increase from the previous quarterly dividend of $0.045 per common share. The dividend will be paid on June 15, 2026 to all stockholders of record at the close of business on June 1, 2026.</w:t>
      </w:r>
      <w:r>
        <w:rPr>
          <w:rFonts w:ascii="Times New Roman" w:hAnsi="Times New Roman"/>
          <w:color w:val="000000"/>
          <w:sz w:val="20"/>
        </w:rPr>
        <w:t xml:space="preserve"> </w:t>
      </w:r>
    </w:p>
    <w:p>
      <w:pPr>
        <w:pStyle w:val="TextBody"/>
        <w:bidi w:val="0"/>
        <w:spacing w:before="0" w:after="160"/>
        <w:jc w:val="both"/>
        <w:rPr>
          <w:rFonts w:ascii="Arial" w:hAnsi="Arial"/>
          <w:b/>
          <w:color w:val="000000"/>
          <w:sz w:val="20"/>
        </w:rPr>
      </w:pPr>
      <w:r>
        <w:rPr>
          <w:rFonts w:ascii="Arial" w:hAnsi="Arial"/>
          <w:b/>
          <w:color w:val="000000"/>
          <w:sz w:val="20"/>
        </w:rPr>
        <w:t>Fiscal Year 2026 Guidance</w:t>
      </w:r>
    </w:p>
    <w:p>
      <w:pPr>
        <w:pStyle w:val="TextBody"/>
        <w:bidi w:val="0"/>
        <w:spacing w:before="0" w:after="160"/>
        <w:jc w:val="both"/>
        <w:rPr>
          <w:rFonts w:ascii="Arial" w:hAnsi="Arial"/>
          <w:color w:val="000000"/>
          <w:sz w:val="20"/>
        </w:rPr>
      </w:pPr>
      <w:r>
        <w:rPr>
          <w:rFonts w:ascii="Arial" w:hAnsi="Arial"/>
          <w:color w:val="000000"/>
          <w:sz w:val="20"/>
        </w:rPr>
        <w:t>The Company anticipates fiscal 2026 revenue, adjusted EBITDA, and adjusted earnings per share to be close to the lower end of our previously issued guidance range. The Company expects a full year tax rate of approximately 18% to 20%. This guidance reflects the current trends in the business and the Company's strategic initiatives, including international expansion and new product launches. The Company's guidance for adjusted non-GAAP EBITDA and adjusted non-GAAP earnings per diluted share excludes any non-operating or non-recurring expenses that may materialize during fiscal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38450" cy="600075"/>
                    </a:xfrm>
                    <a:prstGeom prst="rect">
                      <a:avLst/>
                    </a:prstGeom>
                  </pic:spPr>
                </pic:pic>
              </a:graphicData>
            </a:graphic>
          </wp:inline>
        </w:drawing>
      </w:r>
    </w:p>
    <w:p>
      <w:pPr>
        <w:pStyle w:val="TextBody"/>
        <w:bidi w:val="0"/>
        <w:spacing w:before="0" w:after="160"/>
        <w:jc w:val="left"/>
        <w:rPr>
          <w:rFonts w:ascii="Arial" w:hAnsi="Arial"/>
          <w:b/>
          <w:color w:val="000000"/>
          <w:sz w:val="20"/>
        </w:rPr>
      </w:pPr>
      <w:r>
        <w:rPr>
          <w:rFonts w:ascii="Arial" w:hAnsi="Arial"/>
          <w:b/>
          <w:color w:val="000000"/>
          <w:sz w:val="20"/>
        </w:rPr>
        <w:t>Conference Call Information</w:t>
      </w:r>
    </w:p>
    <w:p>
      <w:pPr>
        <w:pStyle w:val="TextBody"/>
        <w:bidi w:val="0"/>
        <w:spacing w:before="0" w:after="160"/>
        <w:jc w:val="both"/>
        <w:rPr>
          <w:rFonts w:ascii="Arial" w:hAnsi="Arial"/>
          <w:color w:val="000000"/>
          <w:sz w:val="20"/>
        </w:rPr>
      </w:pPr>
      <w:r>
        <w:rPr>
          <w:rFonts w:ascii="Arial" w:hAnsi="Arial"/>
          <w:color w:val="000000"/>
          <w:sz w:val="20"/>
        </w:rPr>
        <w:t>The Company will hold an investor conference call today at 2:30 p.m. MST (4:30 p.m. EST). Investors interested in participating in the live call can dial (877) 704-4453 from the U.S. or international callers can dial (201) 389-0920. A telephone replay will be available approximately two hours after the call concludes and will be available through Wednesday, May 20, 2026, by dialing (844) 512-2921 from the U.S. and entering confirmation code 13759699, or (412) 317-6671 from international locations, and entering confirmation code 13759699.</w:t>
      </w:r>
    </w:p>
    <w:p>
      <w:pPr>
        <w:pStyle w:val="TextBody"/>
        <w:bidi w:val="0"/>
        <w:spacing w:before="0" w:after="160"/>
        <w:jc w:val="both"/>
        <w:rPr>
          <w:rFonts w:ascii="Times New Roman" w:hAnsi="Times New Roman"/>
          <w:sz w:val="20"/>
        </w:rPr>
      </w:pPr>
      <w:r>
        <w:rPr>
          <w:rFonts w:ascii="Arial" w:hAnsi="Arial"/>
          <w:color w:val="000000"/>
          <w:sz w:val="20"/>
        </w:rPr>
        <w:t xml:space="preserve">There will also be a simultaneous, live webcast available on the Investor Relations section of the Company's web site at </w:t>
      </w:r>
      <w:r>
        <w:rPr>
          <w:rFonts w:ascii="Arial" w:hAnsi="Arial"/>
          <w:color w:val="0000FF"/>
          <w:sz w:val="20"/>
        </w:rPr>
        <w:t>https://lifevantage.gcs-web.com/events-and-presentations</w:t>
      </w:r>
      <w:r>
        <w:rPr>
          <w:rFonts w:ascii="Arial" w:hAnsi="Arial"/>
          <w:color w:val="000000"/>
          <w:sz w:val="20"/>
        </w:rPr>
        <w:t>. The webcast will be archived for approximately 30 days.</w:t>
      </w:r>
    </w:p>
    <w:p>
      <w:pPr>
        <w:pStyle w:val="TextBody"/>
        <w:bidi w:val="0"/>
        <w:spacing w:before="0" w:after="160"/>
        <w:jc w:val="both"/>
        <w:rPr>
          <w:rFonts w:ascii="Arial" w:hAnsi="Arial"/>
          <w:b/>
          <w:color w:val="000000"/>
          <w:sz w:val="20"/>
        </w:rPr>
      </w:pPr>
      <w:r>
        <w:rPr>
          <w:rFonts w:ascii="Arial" w:hAnsi="Arial"/>
          <w:b/>
          <w:color w:val="000000"/>
          <w:sz w:val="20"/>
        </w:rPr>
        <w:t>About LifeVantage Corporation</w:t>
      </w:r>
    </w:p>
    <w:p>
      <w:pPr>
        <w:pStyle w:val="TextBody"/>
        <w:bidi w:val="0"/>
        <w:spacing w:before="0" w:after="160"/>
        <w:jc w:val="both"/>
        <w:rPr>
          <w:rFonts w:ascii="Times New Roman" w:hAnsi="Times New Roman"/>
          <w:sz w:val="20"/>
        </w:rPr>
      </w:pPr>
      <w:r>
        <w:rPr>
          <w:rFonts w:ascii="Arial" w:hAnsi="Arial"/>
          <w:color w:val="000000"/>
          <w:sz w:val="20"/>
        </w:rPr>
        <w:t>LifeVantage Corporation (Nasdaq: LFVN), the Activation company, is a pioneer in nutrigenomics—the study of how nutrition and naturally occurring compounds can unlock your genes and the health coded within. Our products work with your unique biology and help your body make what it needs for health. The line of scientifically validated activators includes the flagship Protandim® family of products, TrueScience® Liquid Collagen, the MindBody GLP-1 System</w:t>
      </w:r>
      <w:r>
        <w:rPr>
          <w:rFonts w:ascii="Symbol;serif" w:hAnsi="Symbol;serif"/>
          <w:color w:val="000000"/>
          <w:sz w:val="13"/>
        </w:rPr>
        <w:t>Ò</w:t>
      </w:r>
      <w:r>
        <w:rPr>
          <w:rFonts w:ascii="Arial" w:hAnsi="Arial"/>
          <w:color w:val="000000"/>
          <w:sz w:val="20"/>
        </w:rPr>
        <w:t>, the newest comprehensive gut activator from LoveBiome P84, the Activation-supporting nutrients such as Omega, D3+, and the Rise AM &amp; Reset PM System®, as well as AXIO® nootropic and hydration energy drink mixes, the full TrueScience® line of skin and hair care products, and Petandim®, a pet supplement formulated to combat oxidative stress in dogs. Our independent Consultants sell our products to Customers and share the business opportunity with entrepreneurs seeking to begin their own business. LifeVantage was founded in 2003 and is headquartered in Lehi, Utah. For more information, visit www.lifevantage.com.</w:t>
      </w:r>
      <w:r>
        <w:rPr>
          <w:rFonts w:ascii="Times New Roman" w:hAnsi="Times New Roman"/>
          <w:color w:val="000000"/>
          <w:sz w:val="20"/>
        </w:rPr>
        <w:t xml:space="preserve"> </w:t>
      </w:r>
    </w:p>
    <w:p>
      <w:pPr>
        <w:pStyle w:val="TextBody"/>
        <w:bidi w:val="0"/>
        <w:spacing w:before="0" w:after="160"/>
        <w:jc w:val="left"/>
        <w:rPr>
          <w:rFonts w:ascii="Arial" w:hAnsi="Arial"/>
          <w:b/>
          <w:color w:val="000000"/>
          <w:sz w:val="20"/>
        </w:rPr>
      </w:pPr>
      <w:r>
        <w:rPr>
          <w:rFonts w:ascii="Arial" w:hAnsi="Arial"/>
          <w:b/>
          <w:color w:val="000000"/>
          <w:sz w:val="20"/>
        </w:rPr>
        <w:t>Cautionary Note Regarding Forward Looking Statements</w:t>
      </w:r>
    </w:p>
    <w:p>
      <w:pPr>
        <w:pStyle w:val="TextBody"/>
        <w:bidi w:val="0"/>
        <w:spacing w:before="0" w:after="160"/>
        <w:jc w:val="both"/>
        <w:rPr>
          <w:rFonts w:ascii="Times New Roman" w:hAnsi="Times New Roman"/>
          <w:sz w:val="20"/>
        </w:rPr>
      </w:pPr>
      <w:r>
        <w:rPr>
          <w:rFonts w:ascii="Arial" w:hAnsi="Arial"/>
          <w:color w:val="000000"/>
          <w:sz w:val="20"/>
        </w:rPr>
        <w:t>This document contains forward-looking statements made pursuant to the safe harbor provisions of the Private Securities Litigation Reform Act of 1995. Words and expressions reflecting optimism, satisfaction or disappointment with current prospects, as well as words such as "believe," "will," "hopes," "intends," "estimates," "expects," "projects," "plans," "anticipates," "look forward to," "goal," “may be,” and variations thereof, identify forward-looking statements, but their absence does not mean that a statement is not forward-looking. The declaration and/or payment of a dividend during any quarter provides no assurance as to future dividends, and the timing and amount of future dividends, if any, could vary significantly in comparison both to past dividends and to current expectations</w:t>
      </w:r>
      <w:r>
        <w:rPr>
          <w:rFonts w:ascii="Arial" w:hAnsi="Arial"/>
          <w:color w:val="008080"/>
          <w:sz w:val="20"/>
        </w:rPr>
        <w:t xml:space="preserve">. </w:t>
      </w:r>
      <w:r>
        <w:rPr>
          <w:rFonts w:ascii="Arial" w:hAnsi="Arial"/>
          <w:color w:val="000000"/>
          <w:sz w:val="20"/>
        </w:rPr>
        <w:t>Examples of forward-looking statements include, but are not limited to, expected financial performance, including revenue margins, statements we make regarding executing against and the benefits of our key initiatives, future growth, including geographic and product expansion, and expected dividend payments in future quarters. Such forward-looking statements are not guarantees of performance and the Company's actual results could differ materially from those contained in such statements. These forward-looking statements are based on the Company's current expectations and beliefs concerning future events affecting the Company and involve known and unknown risks and uncertainties that may cause the Company's actual results or outcomes to be materially different from those anticipated and discussed herein. These risks and uncertainties include, among others, further deterioration to the global economic and operating environments, as well as those discussed in greater detail in the Company's Annual Report on Form 10-K and the Company's Quarterly Report on Form 10-Q under the caption "Risk Factors," and in other documents filed by the Company from time to time with the Securities and Exchange Commission (the “SEC”). The Company cautions investors not to place undue reliance on the forward-looking statements contained in this document. All forward-looking statements are based on information currently available to the Company on the date hereof, and the Company undertakes no obligation to revise or update these forward-looking statements to reflect events or circumstances after the date of this document,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38450" cy="600075"/>
                    </a:xfrm>
                    <a:prstGeom prst="rect">
                      <a:avLst/>
                    </a:prstGeom>
                  </pic:spPr>
                </pic:pic>
              </a:graphicData>
            </a:graphic>
          </wp:inline>
        </w:drawing>
      </w:r>
    </w:p>
    <w:p>
      <w:pPr>
        <w:pStyle w:val="TextBody"/>
        <w:bidi w:val="0"/>
        <w:spacing w:before="160" w:after="160"/>
        <w:jc w:val="left"/>
        <w:rPr>
          <w:rFonts w:ascii="Times New Roman" w:hAnsi="Times New Roman"/>
          <w:sz w:val="20"/>
        </w:rPr>
      </w:pPr>
      <w:r>
        <w:rPr>
          <w:rFonts w:ascii="Arial" w:hAnsi="Arial"/>
          <w:b/>
          <w:color w:val="000000"/>
          <w:sz w:val="20"/>
        </w:rPr>
        <w:t>About Non-GAAP Financial Measures</w:t>
      </w:r>
      <w:r>
        <w:rPr>
          <w:rFonts w:ascii="Times New Roman" w:hAnsi="Times New Roman"/>
          <w:color w:val="000000"/>
          <w:sz w:val="20"/>
        </w:rPr>
        <w:t xml:space="preserve"> </w:t>
      </w:r>
    </w:p>
    <w:p>
      <w:pPr>
        <w:pStyle w:val="TextBody"/>
        <w:bidi w:val="0"/>
        <w:spacing w:before="0" w:after="160"/>
        <w:jc w:val="both"/>
        <w:rPr>
          <w:rFonts w:ascii="Arial" w:hAnsi="Arial"/>
          <w:color w:val="000000"/>
          <w:sz w:val="20"/>
        </w:rPr>
      </w:pPr>
      <w:r>
        <w:rPr>
          <w:rFonts w:ascii="Arial" w:hAnsi="Arial"/>
          <w:color w:val="000000"/>
          <w:sz w:val="20"/>
        </w:rPr>
        <w:t>We define Non-GAAP EBITDA as earnings before interest expense, income taxes, depreciation and amortization and Non-GAAP Adjusted EBITDA as earnings before interest expense, income taxes, depreciation and amortization, stock compensation expense, other income, net, and certain other adjustments. Non-GAAP EBITDA and Non-GAAP Adjusted EBITDA may not be comparable to similarly titled measures reported by other companies. We define Non-GAAP Net Income as GAAP net income less certain tax adjusted non-recurring one-time expenses incurred during the period and Non-GAAP Earnings per Share as Non-GAAP Net Income divided by weighted-average shares outstanding.</w:t>
      </w:r>
    </w:p>
    <w:p>
      <w:pPr>
        <w:pStyle w:val="TextBody"/>
        <w:bidi w:val="0"/>
        <w:spacing w:before="0" w:after="160"/>
        <w:jc w:val="both"/>
        <w:rPr>
          <w:rFonts w:ascii="Arial" w:hAnsi="Arial"/>
          <w:color w:val="000000"/>
          <w:sz w:val="20"/>
        </w:rPr>
      </w:pPr>
      <w:r>
        <w:rPr>
          <w:rFonts w:ascii="Arial" w:hAnsi="Arial"/>
          <w:color w:val="000000"/>
          <w:sz w:val="20"/>
        </w:rPr>
        <w:t>We are presenting Non-GAAP EBITDA, Non-GAAP Adjusted EBITDA, Non-GAAP Net Income and Non-GAAP Earnings Per Share because management believes that they provide additional ways to view our operations when considered with both our GAAP results and the reconciliation to net income, which we believe provides a more complete understanding of our business than could be obtained absent this disclosure. Non-GAAP EBITDA, Non-GAAP Adjusted EBITDA, Non-GAAP Net Income and Non-GAAP Earnings Per Share are presented solely as supplemental disclosure because: (i) we believe these measures are a useful tool for investors to assess the operating performance of the business without the effect of these items; (ii) we believe that investors will find this data useful in assessing shareholder value; and (iii) we use Non-GAAP EBITDA, Non-GAAP Adjusted EBITDA, Non-GAAP Net Income and Non-GAAP Earnings Per Share internally as benchmarks to evaluate our operating performance or compare our performance to that of our competitors. The use of Non-GAAP EBITDA, Non-GAAP Adjusted EBITDA, Non-GAAP Net Income and Non-GAAP Earnings per Share has limitations and you should not consider these measures in isolation from or as an alternative to the relevant GAAP measure of net income prepared in accordance with GAAP, or as a measure of profitability or liquidity.</w:t>
      </w:r>
    </w:p>
    <w:p>
      <w:pPr>
        <w:pStyle w:val="TextBody"/>
        <w:bidi w:val="0"/>
        <w:spacing w:before="0" w:after="160"/>
        <w:jc w:val="both"/>
        <w:rPr>
          <w:rFonts w:ascii="Arial" w:hAnsi="Arial"/>
          <w:color w:val="000000"/>
          <w:sz w:val="20"/>
        </w:rPr>
      </w:pPr>
      <w:r>
        <w:rPr>
          <w:rFonts w:ascii="Arial" w:hAnsi="Arial"/>
          <w:color w:val="000000"/>
          <w:sz w:val="20"/>
        </w:rPr>
        <w:t>The tables set forth below present reconciliations of Non-GAAP EBITDA, Non-GAAP Adjusted EBITDA, Non-GAAP Net Income and Non-GAAP Earnings per Share, which are non-GAAP financial measures to Net Income and Earnings per Share, our most directly comparable financial measures presented in accordance with GAAP.</w:t>
      </w:r>
    </w:p>
    <w:p>
      <w:pPr>
        <w:pStyle w:val="TextBody"/>
        <w:bidi w:val="0"/>
        <w:spacing w:before="0" w:after="160"/>
        <w:jc w:val="both"/>
        <w:rPr>
          <w:rFonts w:ascii="Arial" w:hAnsi="Arial"/>
          <w:b/>
          <w:color w:val="000000"/>
          <w:sz w:val="20"/>
        </w:rPr>
      </w:pPr>
      <w:r>
        <w:rPr>
          <w:rFonts w:ascii="Arial" w:hAnsi="Arial"/>
          <w:b/>
          <w:color w:val="000000"/>
          <w:sz w:val="20"/>
        </w:rPr>
        <w:t>Investor Relations Contacts:</w:t>
      </w:r>
    </w:p>
    <w:p>
      <w:pPr>
        <w:pStyle w:val="TextBody"/>
        <w:bidi w:val="0"/>
        <w:jc w:val="left"/>
        <w:rPr>
          <w:rFonts w:ascii="Times New Roman" w:hAnsi="Times New Roman"/>
          <w:sz w:val="20"/>
        </w:rPr>
      </w:pPr>
      <w:r>
        <w:rPr>
          <w:rFonts w:ascii="Arial" w:hAnsi="Arial"/>
          <w:color w:val="000000"/>
          <w:sz w:val="20"/>
        </w:rPr>
        <w:t>Reed Anderson, ICR</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(646) 277-1260</w:t>
      </w:r>
    </w:p>
    <w:p>
      <w:pPr>
        <w:pStyle w:val="TextBody"/>
        <w:bidi w:val="0"/>
        <w:jc w:val="left"/>
        <w:rPr>
          <w:rFonts w:ascii="Arial" w:hAnsi="Arial"/>
          <w:color w:val="000000"/>
          <w:sz w:val="20"/>
        </w:rPr>
      </w:pPr>
      <w:r>
        <w:rPr>
          <w:rFonts w:ascii="Arial" w:hAnsi="Arial"/>
          <w:color w:val="000000"/>
          <w:sz w:val="20"/>
        </w:rPr>
        <w:t>reed.anderson@icrinc.com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838450" cy="600075"/>
                    </a:xfrm>
                    <a:prstGeom prst="rect">
                      <a:avLst/>
                    </a:prstGeom>
                  </pic:spPr>
                </pic:pic>
              </a:graphicData>
            </a:graphic>
          </wp:inline>
        </w:drawing>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283"/>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BALANCE SHEETS</w:t>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86"/>
        <w:gridCol w:w="146"/>
        <w:gridCol w:w="242"/>
        <w:gridCol w:w="965"/>
        <w:gridCol w:w="166"/>
        <w:gridCol w:w="146"/>
        <w:gridCol w:w="228"/>
        <w:gridCol w:w="912"/>
        <w:gridCol w:w="614"/>
      </w:tblGrid>
      <w:tr>
        <w:trPr/>
        <w:tc>
          <w:tcPr>
            <w:tcW w:w="6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71,958</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 par value $0.0001 per share, 5,000 shares authorized, no 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par value $0.0001 per share, 40,000 shares authorized and 12,609 and 12,429 issued and outstanding as of March 31, 2026 and June 30,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139,962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38450" cy="600075"/>
                    </a:xfrm>
                    <a:prstGeom prst="rect">
                      <a:avLst/>
                    </a:prstGeom>
                  </pic:spPr>
                </pic:pic>
              </a:graphicData>
            </a:graphic>
          </wp:inline>
        </w:drawing>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283"/>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STATEMENTS OF OPERATIONS</w:t>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9007" w:type="dxa"/>
        <w:jc w:val="left"/>
        <w:tblInd w:w="0" w:type="dxa"/>
        <w:tblLayout w:type="fixed"/>
        <w:tblCellMar>
          <w:top w:w="28" w:type="dxa"/>
          <w:left w:w="28" w:type="dxa"/>
          <w:bottom w:w="28" w:type="dxa"/>
          <w:right w:w="28" w:type="dxa"/>
        </w:tblCellMar>
      </w:tblPr>
      <w:tblGrid>
        <w:gridCol w:w="3356"/>
        <w:gridCol w:w="146"/>
        <w:gridCol w:w="211"/>
        <w:gridCol w:w="676"/>
        <w:gridCol w:w="166"/>
        <w:gridCol w:w="146"/>
        <w:gridCol w:w="211"/>
        <w:gridCol w:w="676"/>
        <w:gridCol w:w="166"/>
        <w:gridCol w:w="146"/>
        <w:gridCol w:w="211"/>
        <w:gridCol w:w="781"/>
        <w:gridCol w:w="166"/>
        <w:gridCol w:w="146"/>
        <w:gridCol w:w="211"/>
        <w:gridCol w:w="781"/>
        <w:gridCol w:w="811"/>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Commissions and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838450" cy="6000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LIFEVANTAGE CORPORATION AND SUBSIDIARIES</w:t>
      </w:r>
    </w:p>
    <w:p>
      <w:pPr>
        <w:pStyle w:val="TextBody"/>
        <w:bidi w:val="0"/>
        <w:jc w:val="center"/>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 by Region</w:t>
            </w:r>
          </w:p>
        </w:tc>
      </w:tr>
      <w:tr>
        <w:trPr/>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10863" w:type="dxa"/>
        <w:jc w:val="left"/>
        <w:tblInd w:w="0" w:type="dxa"/>
        <w:tblLayout w:type="fixed"/>
        <w:tblCellMar>
          <w:top w:w="28" w:type="dxa"/>
          <w:left w:w="28" w:type="dxa"/>
          <w:bottom w:w="28" w:type="dxa"/>
          <w:right w:w="28" w:type="dxa"/>
        </w:tblCellMar>
      </w:tblPr>
      <w:tblGrid>
        <w:gridCol w:w="956"/>
        <w:gridCol w:w="146"/>
        <w:gridCol w:w="211"/>
        <w:gridCol w:w="676"/>
        <w:gridCol w:w="146"/>
        <w:gridCol w:w="146"/>
        <w:gridCol w:w="146"/>
        <w:gridCol w:w="571"/>
        <w:gridCol w:w="271"/>
        <w:gridCol w:w="146"/>
        <w:gridCol w:w="211"/>
        <w:gridCol w:w="676"/>
        <w:gridCol w:w="146"/>
        <w:gridCol w:w="146"/>
        <w:gridCol w:w="146"/>
        <w:gridCol w:w="571"/>
        <w:gridCol w:w="271"/>
        <w:gridCol w:w="146"/>
        <w:gridCol w:w="211"/>
        <w:gridCol w:w="781"/>
        <w:gridCol w:w="146"/>
        <w:gridCol w:w="146"/>
        <w:gridCol w:w="146"/>
        <w:gridCol w:w="571"/>
        <w:gridCol w:w="271"/>
        <w:gridCol w:w="146"/>
        <w:gridCol w:w="211"/>
        <w:gridCol w:w="781"/>
        <w:gridCol w:w="146"/>
        <w:gridCol w:w="146"/>
        <w:gridCol w:w="146"/>
        <w:gridCol w:w="571"/>
        <w:gridCol w:w="716"/>
      </w:tblGrid>
      <w:tr>
        <w:trPr/>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283"/>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Active Accounts</w:t>
            </w:r>
          </w:p>
        </w:tc>
      </w:tr>
      <w:tr>
        <w:trPr/>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6"/>
        <w:gridCol w:w="146"/>
        <w:gridCol w:w="146"/>
        <w:gridCol w:w="781"/>
        <w:gridCol w:w="146"/>
        <w:gridCol w:w="146"/>
        <w:gridCol w:w="146"/>
        <w:gridCol w:w="571"/>
        <w:gridCol w:w="271"/>
        <w:gridCol w:w="146"/>
        <w:gridCol w:w="146"/>
        <w:gridCol w:w="781"/>
        <w:gridCol w:w="146"/>
        <w:gridCol w:w="146"/>
        <w:gridCol w:w="146"/>
        <w:gridCol w:w="571"/>
        <w:gridCol w:w="271"/>
        <w:gridCol w:w="146"/>
        <w:gridCol w:w="161"/>
        <w:gridCol w:w="817"/>
        <w:gridCol w:w="166"/>
        <w:gridCol w:w="146"/>
        <w:gridCol w:w="163"/>
        <w:gridCol w:w="588"/>
        <w:gridCol w:w="75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br/>
              <w:t>from Prior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Independent Consultants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Active Independent Consultants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46"/>
        <w:gridCol w:w="146"/>
        <w:gridCol w:w="146"/>
        <w:gridCol w:w="146"/>
        <w:gridCol w:w="146"/>
        <w:gridCol w:w="146"/>
        <w:gridCol w:w="146"/>
        <w:gridCol w:w="146"/>
        <w:gridCol w:w="146"/>
        <w:gridCol w:w="191"/>
      </w:tblGrid>
      <w:tr>
        <w:trPr/>
        <w:tc>
          <w:tcPr>
            <w:tcW w:w="8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Active Independent Consultants have purchased product in the prior three months for retail or personal consumption.</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Active Customers have purchased product in the prior three months for personal consumption only.</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Total Active Accounts is the sum of Active Independent Consultant accounts and Active Customer accounts.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838450" cy="600075"/>
                    </a:xfrm>
                    <a:prstGeom prst="rect">
                      <a:avLst/>
                    </a:prstGeom>
                  </pic:spPr>
                </pic:pic>
              </a:graphicData>
            </a:graphic>
          </wp:inline>
        </w:drawing>
      </w:r>
    </w:p>
    <w:tbl>
      <w:tblPr>
        <w:tblW w:w="8116" w:type="dxa"/>
        <w:jc w:val="left"/>
        <w:tblInd w:w="0" w:type="dxa"/>
        <w:tblLayout w:type="fixed"/>
        <w:tblCellMar>
          <w:top w:w="28" w:type="dxa"/>
          <w:left w:w="28" w:type="dxa"/>
          <w:bottom w:w="28" w:type="dxa"/>
          <w:right w:w="28" w:type="dxa"/>
        </w:tblCellMar>
      </w:tblPr>
      <w:tblGrid>
        <w:gridCol w:w="8116"/>
      </w:tblGrid>
      <w:tr>
        <w:trPr/>
        <w:tc>
          <w:tcPr>
            <w:tcW w:w="8116" w:type="dxa"/>
            <w:tcBorders/>
            <w:vAlign w:val="center"/>
          </w:tcPr>
          <w:p>
            <w:pPr>
              <w:pStyle w:val="TableContents"/>
              <w:bidi w:val="0"/>
              <w:spacing w:before="0" w:after="283"/>
              <w:jc w:val="left"/>
              <w:rPr>
                <w:sz w:val="4"/>
                <w:szCs w:val="4"/>
              </w:rPr>
            </w:pPr>
            <w:r>
              <w:rPr>
                <w:sz w:val="4"/>
                <w:szCs w:val="4"/>
              </w:rPr>
            </w:r>
          </w:p>
        </w:tc>
      </w:tr>
      <w:tr>
        <w:trPr/>
        <w:tc>
          <w:tcPr>
            <w:tcW w:w="8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r>
        <w:trPr/>
        <w:tc>
          <w:tcPr>
            <w:tcW w:w="8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Net Income to Non-GAAP EBITDA and Non-GAAP Adjusted EBITDA</w:t>
            </w:r>
          </w:p>
        </w:tc>
      </w:tr>
      <w:tr>
        <w:trPr/>
        <w:tc>
          <w:tcPr>
            <w:tcW w:w="8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9482" w:type="dxa"/>
        <w:jc w:val="left"/>
        <w:tblInd w:w="0" w:type="dxa"/>
        <w:tblLayout w:type="fixed"/>
        <w:tblCellMar>
          <w:top w:w="28" w:type="dxa"/>
          <w:left w:w="28" w:type="dxa"/>
          <w:bottom w:w="28" w:type="dxa"/>
          <w:right w:w="28" w:type="dxa"/>
        </w:tblCellMar>
      </w:tblPr>
      <w:tblGrid>
        <w:gridCol w:w="4471"/>
        <w:gridCol w:w="146"/>
        <w:gridCol w:w="211"/>
        <w:gridCol w:w="571"/>
        <w:gridCol w:w="166"/>
        <w:gridCol w:w="146"/>
        <w:gridCol w:w="211"/>
        <w:gridCol w:w="571"/>
        <w:gridCol w:w="166"/>
        <w:gridCol w:w="146"/>
        <w:gridCol w:w="211"/>
        <w:gridCol w:w="676"/>
        <w:gridCol w:w="166"/>
        <w:gridCol w:w="146"/>
        <w:gridCol w:w="211"/>
        <w:gridCol w:w="676"/>
        <w:gridCol w:w="5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adjustments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Other adjustments breakout: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MB System allowance for inventory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LoveBiome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Key management severance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Executive team recruiting and transition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nonrecurring expenses, net of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838450" cy="600075"/>
                    </a:xfrm>
                    <a:prstGeom prst="rect">
                      <a:avLst/>
                    </a:prstGeom>
                  </pic:spPr>
                </pic:pic>
              </a:graphicData>
            </a:graphic>
          </wp:inline>
        </w:drawing>
      </w:r>
    </w:p>
    <w:tbl>
      <w:tblPr>
        <w:tblW w:w="7936" w:type="dxa"/>
        <w:jc w:val="left"/>
        <w:tblInd w:w="0" w:type="dxa"/>
        <w:tblLayout w:type="fixed"/>
        <w:tblCellMar>
          <w:top w:w="28" w:type="dxa"/>
          <w:left w:w="28" w:type="dxa"/>
          <w:bottom w:w="28" w:type="dxa"/>
          <w:right w:w="28" w:type="dxa"/>
        </w:tblCellMar>
      </w:tblPr>
      <w:tblGrid>
        <w:gridCol w:w="7936"/>
      </w:tblGrid>
      <w:tr>
        <w:trPr/>
        <w:tc>
          <w:tcPr>
            <w:tcW w:w="7936" w:type="dxa"/>
            <w:tcBorders/>
            <w:vAlign w:val="center"/>
          </w:tcPr>
          <w:p>
            <w:pPr>
              <w:pStyle w:val="TableContents"/>
              <w:bidi w:val="0"/>
              <w:spacing w:before="0" w:after="283"/>
              <w:jc w:val="left"/>
              <w:rPr>
                <w:sz w:val="4"/>
                <w:szCs w:val="4"/>
              </w:rPr>
            </w:pPr>
            <w:r>
              <w:rPr>
                <w:sz w:val="4"/>
                <w:szCs w:val="4"/>
              </w:rPr>
            </w:r>
          </w:p>
        </w:tc>
      </w:tr>
      <w:tr>
        <w:trPr/>
        <w:tc>
          <w:tcPr>
            <w:tcW w:w="7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r>
        <w:trPr/>
        <w:tc>
          <w:tcPr>
            <w:tcW w:w="7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Net Income to Non-GAAP Net Income and Non-GAAP Adjusted EPS</w:t>
            </w:r>
          </w:p>
        </w:tc>
      </w:tr>
      <w:tr>
        <w:trPr/>
        <w:tc>
          <w:tcPr>
            <w:tcW w:w="7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9899" w:type="dxa"/>
        <w:jc w:val="left"/>
        <w:tblInd w:w="0" w:type="dxa"/>
        <w:tblLayout w:type="fixed"/>
        <w:tblCellMar>
          <w:top w:w="28" w:type="dxa"/>
          <w:left w:w="28" w:type="dxa"/>
          <w:bottom w:w="28" w:type="dxa"/>
          <w:right w:w="28" w:type="dxa"/>
        </w:tblCellMar>
      </w:tblPr>
      <w:tblGrid>
        <w:gridCol w:w="4798"/>
        <w:gridCol w:w="156"/>
        <w:gridCol w:w="226"/>
        <w:gridCol w:w="612"/>
        <w:gridCol w:w="178"/>
        <w:gridCol w:w="156"/>
        <w:gridCol w:w="226"/>
        <w:gridCol w:w="612"/>
        <w:gridCol w:w="178"/>
        <w:gridCol w:w="156"/>
        <w:gridCol w:w="226"/>
        <w:gridCol w:w="612"/>
        <w:gridCol w:w="178"/>
        <w:gridCol w:w="156"/>
        <w:gridCol w:w="226"/>
        <w:gridCol w:w="612"/>
        <w:gridCol w:w="591"/>
      </w:tblGrid>
      <w:tr>
        <w:trPr/>
        <w:tc>
          <w:tcPr>
            <w:tcW w:w="47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Adjustments:</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MB System allowance for inventory obsolescence</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LoveBiome acquisition costs</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earnout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Key management severance expenses</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Executive team recruiting and transition expenses</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nonrecurring expenses, net of credits</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Tax impact of adjustments</w:t>
            </w:r>
            <w:r>
              <w:rPr>
                <w:rFonts w:ascii="Times New Roman" w:hAnsi="Times New Roman"/>
                <w:color w:val="000000"/>
                <w:sz w:val="13"/>
              </w:rPr>
              <w:t>(1)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 net of tax</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as reported</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adjustments, net of tax</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earnings per share, as adjusted</w:t>
            </w:r>
            <w:r>
              <w:rPr>
                <w:rFonts w:ascii="Times New Roman" w:hAnsi="Times New Roman"/>
                <w:color w:val="000000"/>
                <w:sz w:val="13"/>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08"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Tax impact is based on the estimated annual tax rate for the years ended June 30, 2026 and 2025, respectively.</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May not add due to rounding.</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Gross Profit to Non-GAAP Gross Profit</w:t>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59"/>
        <w:gridCol w:w="146"/>
        <w:gridCol w:w="211"/>
        <w:gridCol w:w="676"/>
        <w:gridCol w:w="271"/>
        <w:gridCol w:w="146"/>
        <w:gridCol w:w="211"/>
        <w:gridCol w:w="676"/>
        <w:gridCol w:w="271"/>
        <w:gridCol w:w="146"/>
        <w:gridCol w:w="211"/>
        <w:gridCol w:w="781"/>
        <w:gridCol w:w="271"/>
        <w:gridCol w:w="146"/>
        <w:gridCol w:w="211"/>
        <w:gridCol w:w="781"/>
        <w:gridCol w:w="491"/>
      </w:tblGrid>
      <w:tr>
        <w:trPr/>
        <w:tc>
          <w:tcPr>
            <w:tcW w:w="4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percentage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5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5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GAAP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MindBody GLP-1 System allowance for inventory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5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5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GAAP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3618</Words>
  <Characters>19648</Characters>
  <CharactersWithSpaces>23943</CharactersWithSpaces>
  <Paragraphs>2203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