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1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LIFEVANTAGE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53222K106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Dell Loy Hansen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595 S. Riverwoods Pkwy., Suite 400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Logan, UT 84321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Attention: Dell Loy Hansen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Telephone: (435) 755-2000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July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77" w:lineRule="exact"/>
        <w:rPr>
          <w:sz w:val="24"/>
          <w:szCs w:val="24"/>
          <w:color w:val="auto"/>
        </w:rPr>
      </w:pPr>
    </w:p>
    <w:p>
      <w:pPr>
        <w:ind w:right="80" w:firstLine="8"/>
        <w:spacing w:after="0" w:line="293" w:lineRule="auto"/>
        <w:tabs>
          <w:tab w:leader="none" w:pos="15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53222K106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5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NAMES OF REPORTING PERSONS</w:t>
            </w:r>
          </w:p>
        </w:tc>
        <w:tc>
          <w:tcPr>
            <w:tcW w:w="5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3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Dell Loy Hansen</w:t>
            </w:r>
          </w:p>
        </w:tc>
        <w:tc>
          <w:tcPr>
            <w:tcW w:w="8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right w:val="single" w:sz="8" w:color="auto"/>
            </w:tcBorders>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20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9540" w:type="dxa"/>
            <w:vAlign w:val="bottom"/>
            <w:tcBorders>
              <w:bottom w:val="single" w:sz="8" w:color="auto"/>
            </w:tcBorders>
            <w:gridSpan w:val="3"/>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40" w:type="dxa"/>
            <w:vAlign w:val="bottom"/>
            <w:gridSpan w:val="3"/>
          </w:tcPr>
          <w:p>
            <w:pPr>
              <w:spacing w:after="0" w:line="163"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tcPr>
          <w:p>
            <w:pPr>
              <w:jc w:val="right"/>
              <w:spacing w:after="0" w:line="163"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2"/>
            <w:shd w:val="clear" w:color="auto" w:fill="BFBFBF"/>
          </w:tcPr>
          <w:p>
            <w:pPr>
              <w:spacing w:after="0"/>
              <w:rPr>
                <w:sz w:val="20"/>
                <w:szCs w:val="20"/>
                <w:color w:val="auto"/>
              </w:rPr>
            </w:pPr>
            <w:r>
              <w:rPr>
                <w:rFonts w:ascii="Arial" w:cs="Arial" w:eastAsia="Arial" w:hAnsi="Arial"/>
                <w:sz w:val="18"/>
                <w:szCs w:val="18"/>
                <w:b w:val="1"/>
                <w:bCs w:val="1"/>
                <w:color w:val="auto"/>
                <w:w w:val="96"/>
              </w:rPr>
              <w:t>SEC USE ONLY</w:t>
            </w:r>
          </w:p>
        </w:tc>
        <w:tc>
          <w:tcPr>
            <w:tcW w:w="820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continue"/>
          </w:tcPr>
          <w:p>
            <w:pPr>
              <w:spacing w:after="0"/>
              <w:rPr>
                <w:sz w:val="18"/>
                <w:szCs w:val="18"/>
                <w:color w:val="auto"/>
              </w:rPr>
            </w:pPr>
          </w:p>
        </w:tc>
        <w:tc>
          <w:tcPr>
            <w:tcW w:w="660" w:type="dxa"/>
            <w:vAlign w:val="bottom"/>
            <w:tcBorders>
              <w:right w:val="single" w:sz="8" w:color="BFBFBF"/>
            </w:tcBorders>
            <w:shd w:val="clear" w:color="auto" w:fill="BFBFBF"/>
          </w:tcPr>
          <w:p>
            <w:pPr>
              <w:spacing w:after="0"/>
              <w:rPr>
                <w:sz w:val="18"/>
                <w:szCs w:val="18"/>
                <w:color w:val="auto"/>
              </w:rPr>
            </w:pPr>
          </w:p>
        </w:tc>
        <w:tc>
          <w:tcPr>
            <w:tcW w:w="680" w:type="dxa"/>
            <w:vAlign w:val="bottom"/>
            <w:tcBorders>
              <w:right w:val="single" w:sz="8" w:color="BFBFBF"/>
            </w:tcBorders>
            <w:shd w:val="clear" w:color="auto" w:fill="BFBFBF"/>
          </w:tcPr>
          <w:p>
            <w:pPr>
              <w:spacing w:after="0"/>
              <w:rPr>
                <w:sz w:val="18"/>
                <w:szCs w:val="18"/>
                <w:color w:val="auto"/>
              </w:rPr>
            </w:pPr>
          </w:p>
        </w:tc>
        <w:tc>
          <w:tcPr>
            <w:tcW w:w="820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BFBFBF"/>
            </w:tcBorders>
            <w:shd w:val="clear" w:color="auto" w:fill="BFBFBF"/>
          </w:tcPr>
          <w:p>
            <w:pPr>
              <w:spacing w:after="0"/>
              <w:rPr>
                <w:sz w:val="18"/>
                <w:szCs w:val="18"/>
                <w:color w:val="auto"/>
              </w:rPr>
            </w:pPr>
          </w:p>
        </w:tc>
        <w:tc>
          <w:tcPr>
            <w:tcW w:w="680" w:type="dxa"/>
            <w:vAlign w:val="bottom"/>
            <w:tcBorders>
              <w:bottom w:val="single" w:sz="8" w:color="auto"/>
              <w:right w:val="single" w:sz="8" w:color="BFBFBF"/>
            </w:tcBorders>
            <w:shd w:val="clear" w:color="auto" w:fill="BFBFBF"/>
          </w:tcPr>
          <w:p>
            <w:pPr>
              <w:spacing w:after="0"/>
              <w:rPr>
                <w:sz w:val="18"/>
                <w:szCs w:val="18"/>
                <w:color w:val="auto"/>
              </w:rPr>
            </w:pPr>
          </w:p>
        </w:tc>
        <w:tc>
          <w:tcPr>
            <w:tcW w:w="8200" w:type="dxa"/>
            <w:vAlign w:val="bottom"/>
            <w:tcBorders>
              <w:bottom w:val="single" w:sz="8" w:color="auto"/>
            </w:tcBorders>
            <w:shd w:val="clear" w:color="auto" w:fill="BFBFBF"/>
          </w:tcPr>
          <w:p>
            <w:pPr>
              <w:spacing w:after="0"/>
              <w:rPr>
                <w:sz w:val="18"/>
                <w:szCs w:val="18"/>
                <w:color w:val="auto"/>
              </w:rPr>
            </w:pPr>
          </w:p>
        </w:tc>
        <w:tc>
          <w:tcPr>
            <w:tcW w:w="520" w:type="dxa"/>
            <w:vAlign w:val="bottom"/>
            <w:tcBorders>
              <w:bottom w:val="single" w:sz="8" w:color="auto"/>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PF</w:t>
            </w:r>
          </w:p>
        </w:tc>
        <w:tc>
          <w:tcPr>
            <w:tcW w:w="6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9540" w:type="dxa"/>
            <w:vAlign w:val="bottom"/>
            <w:tcBorders>
              <w:bottom w:val="single" w:sz="8" w:color="auto"/>
            </w:tcBorders>
            <w:gridSpan w:val="3"/>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right w:val="single" w:sz="8" w:color="auto"/>
            </w:tcBorders>
            <w:vMerge w:val="continue"/>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bottom w:val="single" w:sz="8" w:color="auto"/>
              <w:right w:val="single" w:sz="8" w:color="auto"/>
            </w:tcBorders>
          </w:tcPr>
          <w:p>
            <w:pPr>
              <w:spacing w:after="0"/>
              <w:rPr>
                <w:sz w:val="11"/>
                <w:szCs w:val="11"/>
                <w:color w:val="auto"/>
              </w:rPr>
            </w:pPr>
          </w:p>
        </w:tc>
        <w:tc>
          <w:tcPr>
            <w:tcW w:w="9540" w:type="dxa"/>
            <w:vAlign w:val="bottom"/>
            <w:tcBorders>
              <w:bottom w:val="single" w:sz="8" w:color="auto"/>
            </w:tcBorders>
            <w:gridSpan w:val="3"/>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8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20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1,337,000 shares</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20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0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0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vMerge w:val="continue"/>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3,645,868 shares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200" w:type="dxa"/>
            <w:vAlign w:val="bottom"/>
            <w:vMerge w:val="continue"/>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0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60" w:type="dxa"/>
            <w:vAlign w:val="bottom"/>
            <w:tcBorders>
              <w:left w:val="single" w:sz="8" w:color="auto"/>
            </w:tcBorders>
          </w:tcPr>
          <w:p>
            <w:pPr>
              <w:jc w:val="center"/>
              <w:ind w:left="52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1,337,000 shares</w:t>
            </w:r>
          </w:p>
        </w:tc>
        <w:tc>
          <w:tcPr>
            <w:tcW w:w="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20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3,645,868 shares</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AGGREGATE</w:t>
            </w:r>
          </w:p>
        </w:tc>
        <w:tc>
          <w:tcPr>
            <w:tcW w:w="820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w w:val="91"/>
              </w:rPr>
              <w:t>4,982,868 shares</w:t>
            </w:r>
          </w:p>
        </w:tc>
        <w:tc>
          <w:tcPr>
            <w:tcW w:w="8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right w:val="single" w:sz="8" w:color="auto"/>
            </w:tcBorders>
            <w:vMerge w:val="continue"/>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rPr>
              <w:t>TYPE OF REPORTING PERSON</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53222K106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5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NAMES OF REPORTING PERSONS</w:t>
            </w:r>
          </w:p>
        </w:tc>
        <w:tc>
          <w:tcPr>
            <w:tcW w:w="5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360" w:type="dxa"/>
            <w:vAlign w:val="bottom"/>
            <w:tcBorders>
              <w:left w:val="single" w:sz="8" w:color="auto"/>
              <w:right w:val="single" w:sz="8" w:color="auto"/>
            </w:tcBorders>
            <w:vMerge w:val="continue"/>
          </w:tcPr>
          <w:p>
            <w:pPr>
              <w:spacing w:after="0"/>
              <w:rPr>
                <w:sz w:val="24"/>
                <w:szCs w:val="24"/>
                <w:color w:val="auto"/>
              </w:rPr>
            </w:pPr>
          </w:p>
        </w:tc>
        <w:tc>
          <w:tcPr>
            <w:tcW w:w="1840" w:type="dxa"/>
            <w:vAlign w:val="bottom"/>
            <w:gridSpan w:val="3"/>
            <w:vMerge w:val="restart"/>
          </w:tcPr>
          <w:p>
            <w:pPr>
              <w:ind w:left="20"/>
              <w:spacing w:after="0"/>
              <w:rPr>
                <w:sz w:val="20"/>
                <w:szCs w:val="20"/>
                <w:color w:val="auto"/>
              </w:rPr>
            </w:pPr>
            <w:r>
              <w:rPr>
                <w:rFonts w:ascii="Arial" w:cs="Arial" w:eastAsia="Arial" w:hAnsi="Arial"/>
                <w:sz w:val="18"/>
                <w:szCs w:val="18"/>
                <w:color w:val="auto"/>
                <w:w w:val="97"/>
              </w:rPr>
              <w:t>Hansen Guaranty, LLC</w:t>
            </w:r>
          </w:p>
        </w:tc>
        <w:tc>
          <w:tcPr>
            <w:tcW w:w="77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right w:val="single" w:sz="8" w:color="auto"/>
            </w:tcBorders>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770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9540" w:type="dxa"/>
            <w:vAlign w:val="bottom"/>
            <w:tcBorders>
              <w:bottom w:val="single" w:sz="8" w:color="auto"/>
            </w:tcBorders>
            <w:gridSpan w:val="4"/>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40" w:type="dxa"/>
            <w:vAlign w:val="bottom"/>
            <w:gridSpan w:val="4"/>
          </w:tcPr>
          <w:p>
            <w:pPr>
              <w:spacing w:after="0" w:line="163"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tcPr>
          <w:p>
            <w:pPr>
              <w:jc w:val="right"/>
              <w:spacing w:after="0" w:line="163"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2"/>
            <w:shd w:val="clear" w:color="auto" w:fill="BFBFBF"/>
          </w:tcPr>
          <w:p>
            <w:pPr>
              <w:spacing w:after="0"/>
              <w:rPr>
                <w:sz w:val="20"/>
                <w:szCs w:val="20"/>
                <w:color w:val="auto"/>
              </w:rPr>
            </w:pPr>
            <w:r>
              <w:rPr>
                <w:rFonts w:ascii="Arial" w:cs="Arial" w:eastAsia="Arial" w:hAnsi="Arial"/>
                <w:sz w:val="18"/>
                <w:szCs w:val="18"/>
                <w:b w:val="1"/>
                <w:bCs w:val="1"/>
                <w:color w:val="auto"/>
                <w:w w:val="96"/>
              </w:rPr>
              <w:t>SEC USE ONLY</w:t>
            </w:r>
          </w:p>
        </w:tc>
        <w:tc>
          <w:tcPr>
            <w:tcW w:w="500" w:type="dxa"/>
            <w:vAlign w:val="bottom"/>
            <w:shd w:val="clear" w:color="auto" w:fill="BFBFBF"/>
          </w:tcPr>
          <w:p>
            <w:pPr>
              <w:spacing w:after="0"/>
              <w:rPr>
                <w:sz w:val="18"/>
                <w:szCs w:val="18"/>
                <w:color w:val="auto"/>
              </w:rPr>
            </w:pPr>
          </w:p>
        </w:tc>
        <w:tc>
          <w:tcPr>
            <w:tcW w:w="770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continue"/>
          </w:tcPr>
          <w:p>
            <w:pPr>
              <w:spacing w:after="0"/>
              <w:rPr>
                <w:sz w:val="18"/>
                <w:szCs w:val="18"/>
                <w:color w:val="auto"/>
              </w:rPr>
            </w:pPr>
          </w:p>
        </w:tc>
        <w:tc>
          <w:tcPr>
            <w:tcW w:w="660" w:type="dxa"/>
            <w:vAlign w:val="bottom"/>
            <w:tcBorders>
              <w:right w:val="single" w:sz="8" w:color="BFBFBF"/>
            </w:tcBorders>
            <w:shd w:val="clear" w:color="auto" w:fill="BFBFBF"/>
          </w:tcPr>
          <w:p>
            <w:pPr>
              <w:spacing w:after="0"/>
              <w:rPr>
                <w:sz w:val="18"/>
                <w:szCs w:val="18"/>
                <w:color w:val="auto"/>
              </w:rPr>
            </w:pPr>
          </w:p>
        </w:tc>
        <w:tc>
          <w:tcPr>
            <w:tcW w:w="680" w:type="dxa"/>
            <w:vAlign w:val="bottom"/>
            <w:tcBorders>
              <w:right w:val="single" w:sz="8" w:color="BFBFBF"/>
            </w:tcBorders>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770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BFBFBF"/>
            </w:tcBorders>
            <w:shd w:val="clear" w:color="auto" w:fill="BFBFBF"/>
          </w:tcPr>
          <w:p>
            <w:pPr>
              <w:spacing w:after="0"/>
              <w:rPr>
                <w:sz w:val="18"/>
                <w:szCs w:val="18"/>
                <w:color w:val="auto"/>
              </w:rPr>
            </w:pPr>
          </w:p>
        </w:tc>
        <w:tc>
          <w:tcPr>
            <w:tcW w:w="680" w:type="dxa"/>
            <w:vAlign w:val="bottom"/>
            <w:tcBorders>
              <w:bottom w:val="single" w:sz="8" w:color="auto"/>
              <w:right w:val="single" w:sz="8" w:color="BFBFBF"/>
            </w:tcBorders>
            <w:shd w:val="clear" w:color="auto" w:fill="BFBFBF"/>
          </w:tcPr>
          <w:p>
            <w:pPr>
              <w:spacing w:after="0"/>
              <w:rPr>
                <w:sz w:val="18"/>
                <w:szCs w:val="18"/>
                <w:color w:val="auto"/>
              </w:rPr>
            </w:pPr>
          </w:p>
        </w:tc>
        <w:tc>
          <w:tcPr>
            <w:tcW w:w="8200" w:type="dxa"/>
            <w:vAlign w:val="bottom"/>
            <w:tcBorders>
              <w:bottom w:val="single" w:sz="8" w:color="auto"/>
            </w:tcBorders>
            <w:gridSpan w:val="2"/>
            <w:shd w:val="clear" w:color="auto" w:fill="BFBFBF"/>
          </w:tcPr>
          <w:p>
            <w:pPr>
              <w:spacing w:after="0"/>
              <w:rPr>
                <w:sz w:val="18"/>
                <w:szCs w:val="18"/>
                <w:color w:val="auto"/>
              </w:rPr>
            </w:pPr>
          </w:p>
        </w:tc>
        <w:tc>
          <w:tcPr>
            <w:tcW w:w="520" w:type="dxa"/>
            <w:vAlign w:val="bottom"/>
            <w:tcBorders>
              <w:bottom w:val="single" w:sz="8" w:color="auto"/>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40" w:type="dxa"/>
            <w:vAlign w:val="bottom"/>
            <w:gridSpan w:val="4"/>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WC</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9540" w:type="dxa"/>
            <w:vAlign w:val="bottom"/>
            <w:tcBorders>
              <w:bottom w:val="single" w:sz="8" w:color="auto"/>
            </w:tcBorders>
            <w:gridSpan w:val="4"/>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40" w:type="dxa"/>
            <w:vAlign w:val="bottom"/>
            <w:gridSpan w:val="4"/>
          </w:tcPr>
          <w:p>
            <w:pPr>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right w:val="single" w:sz="8" w:color="auto"/>
            </w:tcBorders>
            <w:vMerge w:val="continue"/>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bottom w:val="single" w:sz="8" w:color="auto"/>
              <w:right w:val="single" w:sz="8" w:color="auto"/>
            </w:tcBorders>
          </w:tcPr>
          <w:p>
            <w:pPr>
              <w:spacing w:after="0"/>
              <w:rPr>
                <w:sz w:val="11"/>
                <w:szCs w:val="11"/>
                <w:color w:val="auto"/>
              </w:rPr>
            </w:pPr>
          </w:p>
        </w:tc>
        <w:tc>
          <w:tcPr>
            <w:tcW w:w="9540" w:type="dxa"/>
            <w:vAlign w:val="bottom"/>
            <w:tcBorders>
              <w:bottom w:val="single" w:sz="8" w:color="auto"/>
            </w:tcBorders>
            <w:gridSpan w:val="4"/>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40" w:type="dxa"/>
            <w:vAlign w:val="bottom"/>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Utah</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13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500" w:type="dxa"/>
            <w:vAlign w:val="bottom"/>
          </w:tcPr>
          <w:p>
            <w:pPr>
              <w:spacing w:after="0"/>
              <w:rPr>
                <w:sz w:val="20"/>
                <w:szCs w:val="20"/>
                <w:color w:val="auto"/>
              </w:rPr>
            </w:pPr>
            <w:r>
              <w:rPr>
                <w:rFonts w:ascii="Arial" w:cs="Arial" w:eastAsia="Arial" w:hAnsi="Arial"/>
                <w:sz w:val="18"/>
                <w:szCs w:val="18"/>
                <w:b w:val="1"/>
                <w:bCs w:val="1"/>
                <w:color w:val="auto"/>
                <w:w w:val="76"/>
              </w:rPr>
              <w:t>SOLE</w:t>
            </w:r>
            <w:r>
              <w:rPr>
                <w:rFonts w:ascii="Arial" w:cs="Arial" w:eastAsia="Arial" w:hAnsi="Arial"/>
                <w:sz w:val="36"/>
                <w:szCs w:val="36"/>
                <w:color w:val="auto"/>
                <w:w w:val="76"/>
                <w:vertAlign w:val="subscript"/>
              </w:rPr>
              <w:t>0</w:t>
            </w:r>
          </w:p>
        </w:tc>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VOTING POWER</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0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500" w:type="dxa"/>
            <w:vAlign w:val="bottom"/>
          </w:tcPr>
          <w:p>
            <w:pPr>
              <w:spacing w:after="0"/>
              <w:rPr>
                <w:sz w:val="6"/>
                <w:szCs w:val="6"/>
                <w:color w:val="auto"/>
              </w:rPr>
            </w:pPr>
          </w:p>
        </w:tc>
        <w:tc>
          <w:tcPr>
            <w:tcW w:w="770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vMerge w:val="continue"/>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3,645,868 shares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70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200" w:type="dxa"/>
            <w:vAlign w:val="bottom"/>
            <w:gridSpan w:val="2"/>
            <w:vMerge w:val="continue"/>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500" w:type="dxa"/>
            <w:vAlign w:val="bottom"/>
          </w:tcPr>
          <w:p>
            <w:pPr>
              <w:spacing w:after="0"/>
              <w:rPr>
                <w:sz w:val="5"/>
                <w:szCs w:val="5"/>
                <w:color w:val="auto"/>
              </w:rPr>
            </w:pPr>
          </w:p>
        </w:tc>
        <w:tc>
          <w:tcPr>
            <w:tcW w:w="770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60" w:type="dxa"/>
            <w:vAlign w:val="bottom"/>
            <w:tcBorders>
              <w:left w:val="single" w:sz="8" w:color="auto"/>
            </w:tcBorders>
          </w:tcPr>
          <w:p>
            <w:pPr>
              <w:jc w:val="center"/>
              <w:ind w:left="52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0</w:t>
            </w:r>
          </w:p>
        </w:tc>
        <w:tc>
          <w:tcPr>
            <w:tcW w:w="77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3,645,868 shares</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AGGREGATE</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w w:val="91"/>
              </w:rPr>
              <w:t>3,645,868 shares</w:t>
            </w:r>
          </w:p>
        </w:tc>
        <w:tc>
          <w:tcPr>
            <w:tcW w:w="5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40" w:type="dxa"/>
            <w:vAlign w:val="bottom"/>
            <w:gridSpan w:val="4"/>
          </w:tcPr>
          <w:p>
            <w:pPr>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right w:val="single" w:sz="8" w:color="auto"/>
            </w:tcBorders>
            <w:vMerge w:val="continue"/>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6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gridSpan w:val="2"/>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540" w:type="dxa"/>
            <w:vAlign w:val="bottom"/>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40" w:type="dxa"/>
            <w:vAlign w:val="bottom"/>
            <w:gridSpan w:val="4"/>
          </w:tcPr>
          <w:p>
            <w:pPr>
              <w:spacing w:after="0"/>
              <w:rPr>
                <w:sz w:val="20"/>
                <w:szCs w:val="20"/>
                <w:color w:val="auto"/>
              </w:rPr>
            </w:pPr>
            <w:r>
              <w:rPr>
                <w:rFonts w:ascii="Arial" w:cs="Arial" w:eastAsia="Arial" w:hAnsi="Arial"/>
                <w:sz w:val="18"/>
                <w:szCs w:val="18"/>
                <w:b w:val="1"/>
                <w:bCs w:val="1"/>
                <w:color w:val="auto"/>
              </w:rPr>
              <w:t>TYPE OF REPORTING PERSON</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53222K106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statement on Schedule 13D (this "Statement") relates to the shares of common stock, $0.001 par value per share (the "Common Stock"), of LifeVantage Corporation, a Colorado corporation (the "Company"). The Company's principal executive offices are located at 9785 S. Monroe Street, Ste 300, Sandy, UT 84070.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0" w:firstLine="8"/>
        <w:spacing w:after="0" w:line="25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 (c) This Statement is filed by Dell Loy Hansen, an individual, and Hansen Guaranty, LLC, a Utah limited liability company ("Hansen Guaranty"). Mr. Hansen and Hansen Guaranty are each sometimes referred to in this Schedule 13D as a "Reporting Person." The principal business address of each Reporting Person is 595 S. Riverwoods Pkwy., Suite 400, Logan, UT 84321. The principal business of Mr. Hansen is real estate manager. Mr. Hansen is also the manager of Hansen Guaranty and, as such, may be deemed to have voting power and dispositive power over the Company's Common Stock owned by Hansen Guaranty.</w:t>
      </w:r>
    </w:p>
    <w:p>
      <w:pPr>
        <w:spacing w:after="0" w:line="215" w:lineRule="exact"/>
        <w:rPr>
          <w:sz w:val="20"/>
          <w:szCs w:val="20"/>
          <w:color w:val="auto"/>
        </w:rPr>
      </w:pPr>
    </w:p>
    <w:p>
      <w:pPr>
        <w:ind w:right="98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197" w:lineRule="exact"/>
        <w:rPr>
          <w:rFonts w:ascii="Arial" w:cs="Arial" w:eastAsia="Arial" w:hAnsi="Arial"/>
          <w:sz w:val="18"/>
          <w:szCs w:val="18"/>
          <w:color w:val="auto"/>
        </w:rPr>
      </w:pPr>
    </w:p>
    <w:p>
      <w:pPr>
        <w:ind w:firstLine="8"/>
        <w:spacing w:after="0" w:line="26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8"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Hansen is a citizen of the United States of America. Hansen Guaranty is a Utah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Hansen acquired his beneficial ownership of the Company's Common Stock with personal funds. Hansen Guaranty acquired its beneficial ownership of the Company's Common Stock with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Reporting Persons acquired such securities in the Company for investment purposes, with no intention of changing or influencing control of the Company or as a participant in any transaction having that purpose or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(a)-(b) The Reporting Persons own in the aggregate 4,982,868 shares of the Company's Common Stock which represents 5.1% of the Company's outstanding common stock based upon 97,021,189 shares outstanding as of April 30, 2015 as set forth in the Company's most recent report on Form 10-Q for the quarterly period ended March 31, 2015, and filed with the Securities and Exchange Commission on May 6, 2015. As of July 16, 2015, Mr. Hansen individually owns 1,337,000 shares of Common Stock of the Company, and Hansen Guaranty owns 3,645,868 shares of Common Stock of the Company. Mr. Hansen is the Manager of Hansen Guaranty and, as such, has voting and dispositive power over the Common Stock owned by Hansen Guaranty.</w:t>
      </w:r>
    </w:p>
    <w:p>
      <w:pPr>
        <w:spacing w:after="0" w:line="185"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Items 3 and 4 above is hereby incorporated herein by reference in its entirety.</w:t>
      </w:r>
    </w:p>
    <w:p>
      <w:pPr>
        <w:spacing w:after="0" w:line="252" w:lineRule="exact"/>
        <w:rPr>
          <w:rFonts w:ascii="Arial" w:cs="Arial" w:eastAsia="Arial" w:hAnsi="Arial"/>
          <w:sz w:val="18"/>
          <w:szCs w:val="18"/>
          <w:color w:val="auto"/>
        </w:rPr>
      </w:pPr>
    </w:p>
    <w:p>
      <w:pPr>
        <w:ind w:right="160" w:firstLine="8"/>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such Common Stock.</w:t>
      </w:r>
    </w:p>
    <w:p>
      <w:pPr>
        <w:spacing w:after="0" w:line="197"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July 17,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Dell Loy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27012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Dell Loy Hansen</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HANSEN GUARANTY, LLC</w:t>
      </w:r>
    </w:p>
    <w:p>
      <w:pPr>
        <w:spacing w:after="0" w:line="229" w:lineRule="exact"/>
        <w:rPr>
          <w:sz w:val="20"/>
          <w:szCs w:val="20"/>
          <w:color w:val="auto"/>
        </w:rPr>
      </w:pPr>
    </w:p>
    <w:tbl>
      <w:tblPr>
        <w:tblLayout w:type="fixed"/>
        <w:tblInd w:w="578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Dell Loy Hansen</w:t>
            </w:r>
          </w:p>
        </w:tc>
      </w:t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Dell Loy Hansen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gridSpan w:val="2"/>
          </w:tcPr>
          <w:p>
            <w:pPr>
              <w:ind w:left="80"/>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undersigned hereby agree that a single Schedule 13D (or any amendment thereto) relating to the Common Stock of LifeVantage Corporation shall be filed on behalf of each of the undersigned and that this Agreement shall be filed as an exhibit to such Schedule 13D.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July 17,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Dell Loy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27012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Dell Loy Hansen</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HANSEN GUARANTY, LLC</w:t>
      </w:r>
    </w:p>
    <w:p>
      <w:pPr>
        <w:spacing w:after="0" w:line="229" w:lineRule="exact"/>
        <w:rPr>
          <w:sz w:val="20"/>
          <w:szCs w:val="20"/>
          <w:color w:val="auto"/>
        </w:rPr>
      </w:pPr>
    </w:p>
    <w:tbl>
      <w:tblPr>
        <w:tblLayout w:type="fixed"/>
        <w:tblInd w:w="578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36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Dell Loy Hansen</w:t>
            </w:r>
          </w:p>
        </w:tc>
      </w:tr>
      <w:tr>
        <w:trPr>
          <w:trHeight w:val="22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Dell Loy Hansen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gridSpan w:val="2"/>
          </w:tcPr>
          <w:p>
            <w:pPr>
              <w:ind w:left="40"/>
              <w:spacing w:after="0"/>
              <w:rPr>
                <w:sz w:val="20"/>
                <w:szCs w:val="20"/>
                <w:color w:val="auto"/>
              </w:rPr>
            </w:pPr>
            <w:r>
              <w:rPr>
                <w:rFonts w:ascii="Arial" w:cs="Arial" w:eastAsia="Arial" w:hAnsi="Arial"/>
                <w:sz w:val="18"/>
                <w:szCs w:val="18"/>
                <w:color w:val="auto"/>
              </w:rPr>
              <w:t>Manager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2019-12-16T20:06:28Z</dcterms:created>
  <dcterms:modified xsi:type="dcterms:W3CDTF">2019-12-16T20:06:28Z</dcterms:modified>
</cp:coreProperties>
</file>